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7026" w14:textId="77777777" w:rsidR="00232A2F" w:rsidRDefault="00303AFA">
      <w:pPr>
        <w:pStyle w:val="BodyText"/>
        <w:spacing w:before="230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3DD7054" wp14:editId="63DD7055">
                <wp:simplePos x="0" y="0"/>
                <wp:positionH relativeFrom="page">
                  <wp:posOffset>0</wp:posOffset>
                </wp:positionH>
                <wp:positionV relativeFrom="page">
                  <wp:posOffset>304800</wp:posOffset>
                </wp:positionV>
                <wp:extent cx="7772400" cy="571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5715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57150"/>
                              </a:lnTo>
                              <a:lnTo>
                                <a:pt x="7772400" y="5715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34CB3" id="Graphic 4" o:spid="_x0000_s1026" style="position:absolute;margin-left:0;margin-top:24pt;width:612pt;height:4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" path="m7772400,l,,,57150r7772400,l7772400,xe" fillcolor="#0032a0" stroked="f">
                <v:path arrowok="t"/>
                <w10:wrap anchorx="page" anchory="page"/>
              </v:shape>
            </w:pict>
          </mc:Fallback>
        </mc:AlternateContent>
      </w:r>
    </w:p>
    <w:p w14:paraId="63DD7027" w14:textId="77777777" w:rsidR="00232A2F" w:rsidRDefault="00303AFA">
      <w:pPr>
        <w:ind w:left="3526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3DD7056" wp14:editId="63DD7057">
                <wp:simplePos x="0" y="0"/>
                <wp:positionH relativeFrom="page">
                  <wp:posOffset>2334005</wp:posOffset>
                </wp:positionH>
                <wp:positionV relativeFrom="paragraph">
                  <wp:posOffset>46114</wp:posOffset>
                </wp:positionV>
                <wp:extent cx="1270" cy="3530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53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53060">
                              <a:moveTo>
                                <a:pt x="0" y="35280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102">
                          <a:solidFill>
                            <a:srgbClr val="CBCBC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671F0" id="Graphic 5" o:spid="_x0000_s1026" style="position:absolute;margin-left:183.8pt;margin-top:3.65pt;width:.1pt;height:27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5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" path="m,352805l,e" filled="f" strokecolor="#cbcbcb" strokeweight=".1139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</w:rPr>
        <w:drawing>
          <wp:anchor distT="0" distB="0" distL="0" distR="0" simplePos="0" relativeHeight="15729152" behindDoc="0" locked="0" layoutInCell="1" allowOverlap="1" wp14:anchorId="63DD7058" wp14:editId="6A65B027">
            <wp:simplePos x="0" y="0"/>
            <wp:positionH relativeFrom="page">
              <wp:posOffset>496062</wp:posOffset>
            </wp:positionH>
            <wp:positionV relativeFrom="paragraph">
              <wp:posOffset>52972</wp:posOffset>
            </wp:positionV>
            <wp:extent cx="1710690" cy="368807"/>
            <wp:effectExtent l="0" t="0" r="0" b="0"/>
            <wp:wrapNone/>
            <wp:docPr id="6" name="Image 6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MGCAF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Division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5"/>
        </w:rPr>
        <w:t>of</w:t>
      </w:r>
    </w:p>
    <w:p w14:paraId="63DD7028" w14:textId="77777777" w:rsidR="00232A2F" w:rsidRDefault="00303AFA">
      <w:pPr>
        <w:pStyle w:val="Heading1"/>
      </w:pPr>
      <w:r>
        <w:rPr>
          <w:color w:val="0032A0"/>
        </w:rPr>
        <w:t>Regulatory</w:t>
      </w:r>
      <w:r>
        <w:rPr>
          <w:color w:val="0032A0"/>
          <w:spacing w:val="-12"/>
        </w:rPr>
        <w:t xml:space="preserve"> </w:t>
      </w:r>
      <w:r>
        <w:rPr>
          <w:color w:val="0032A0"/>
          <w:spacing w:val="-2"/>
        </w:rPr>
        <w:t>Services</w:t>
      </w:r>
    </w:p>
    <w:p w14:paraId="63DD7029" w14:textId="77777777" w:rsidR="00232A2F" w:rsidRDefault="00232A2F">
      <w:pPr>
        <w:pStyle w:val="BodyText"/>
        <w:spacing w:before="0"/>
        <w:rPr>
          <w:rFonts w:ascii="Arial"/>
          <w:b/>
          <w:sz w:val="22"/>
        </w:rPr>
      </w:pPr>
    </w:p>
    <w:p w14:paraId="63DD702A" w14:textId="77777777" w:rsidR="00232A2F" w:rsidRDefault="00232A2F">
      <w:pPr>
        <w:pStyle w:val="BodyText"/>
        <w:spacing w:before="207"/>
        <w:rPr>
          <w:rFonts w:ascii="Arial"/>
          <w:b/>
          <w:sz w:val="22"/>
        </w:rPr>
      </w:pPr>
    </w:p>
    <w:p w14:paraId="63DD702B" w14:textId="77777777" w:rsidR="00232A2F" w:rsidRDefault="00303AFA">
      <w:pPr>
        <w:pStyle w:val="Heading2"/>
      </w:pPr>
      <w:r>
        <w:t>Guidance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Heavy</w:t>
      </w:r>
      <w:r>
        <w:rPr>
          <w:spacing w:val="-4"/>
        </w:rPr>
        <w:t xml:space="preserve"> </w:t>
      </w:r>
      <w:r>
        <w:t>Metal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Soil</w:t>
      </w:r>
    </w:p>
    <w:p w14:paraId="63DD702C" w14:textId="77777777" w:rsidR="00232A2F" w:rsidRDefault="00303AFA">
      <w:pPr>
        <w:pStyle w:val="BodyText"/>
        <w:spacing w:before="0"/>
        <w:ind w:left="362" w:right="5"/>
        <w:jc w:val="center"/>
      </w:pPr>
      <w:r>
        <w:t>Frank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rPr>
          <w:spacing w:val="-2"/>
        </w:rPr>
        <w:t>Sikora</w:t>
      </w:r>
    </w:p>
    <w:p w14:paraId="63DD702D" w14:textId="77777777" w:rsidR="00232A2F" w:rsidRDefault="00303AFA">
      <w:pPr>
        <w:pStyle w:val="BodyText"/>
        <w:ind w:left="360"/>
      </w:pPr>
      <w:r>
        <w:t>Heavy metals can be tested in soil to determine total concentration which involves an EPA method to dissolve the soil in acid.</w:t>
      </w:r>
      <w:r>
        <w:rPr>
          <w:spacing w:val="40"/>
        </w:rPr>
        <w:t xml:space="preserve"> </w:t>
      </w:r>
      <w:r>
        <w:t>Another method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heavy</w:t>
      </w:r>
      <w:r>
        <w:rPr>
          <w:spacing w:val="-2"/>
        </w:rPr>
        <w:t xml:space="preserve"> </w:t>
      </w:r>
      <w:r>
        <w:t>metals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Mehlich-3</w:t>
      </w:r>
      <w:r>
        <w:rPr>
          <w:spacing w:val="-2"/>
        </w:rPr>
        <w:t xml:space="preserve"> </w:t>
      </w:r>
      <w:r>
        <w:t>extract</w:t>
      </w:r>
      <w:r>
        <w:rPr>
          <w:spacing w:val="-4"/>
        </w:rPr>
        <w:t xml:space="preserve"> </w:t>
      </w:r>
      <w:r>
        <w:t>routinely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t>labs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determining</w:t>
      </w:r>
      <w:r>
        <w:rPr>
          <w:spacing w:val="-2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nutrients.</w:t>
      </w:r>
      <w:r>
        <w:rPr>
          <w:spacing w:val="3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Mehlich-3 extract determines a portion of the total concentration which is approximately 75% of the total.</w:t>
      </w:r>
    </w:p>
    <w:p w14:paraId="63DD702E" w14:textId="77777777" w:rsidR="00232A2F" w:rsidRDefault="00303AFA">
      <w:pPr>
        <w:pStyle w:val="BodyText"/>
        <w:ind w:left="359"/>
      </w:pPr>
      <w:r>
        <w:t xml:space="preserve">Guidance on levels of concern in soil is mostly focused on </w:t>
      </w:r>
      <w:proofErr w:type="gramStart"/>
      <w:r>
        <w:t>lead</w:t>
      </w:r>
      <w:proofErr w:type="gramEnd"/>
      <w:r>
        <w:t xml:space="preserve"> in several extension publications from different states.</w:t>
      </w:r>
      <w:r>
        <w:rPr>
          <w:spacing w:val="40"/>
        </w:rPr>
        <w:t xml:space="preserve"> </w:t>
      </w:r>
      <w:r>
        <w:t>Two of those publications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referenced</w:t>
      </w:r>
      <w:r>
        <w:rPr>
          <w:spacing w:val="-2"/>
        </w:rPr>
        <w:t xml:space="preserve"> </w:t>
      </w:r>
      <w:r>
        <w:t>below.</w:t>
      </w:r>
      <w:r>
        <w:rPr>
          <w:spacing w:val="3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Rutgers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recommendations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Mehlich-3</w:t>
      </w:r>
      <w:r>
        <w:rPr>
          <w:spacing w:val="-1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and total EPA method.</w:t>
      </w:r>
      <w:r>
        <w:rPr>
          <w:spacing w:val="40"/>
        </w:rPr>
        <w:t xml:space="preserve"> </w:t>
      </w:r>
      <w:r>
        <w:t>The one from Penn State provides recommendations on lead levels based on the total EPA method.</w:t>
      </w:r>
    </w:p>
    <w:p w14:paraId="63DD702F" w14:textId="77777777" w:rsidR="00232A2F" w:rsidRDefault="00303AFA">
      <w:pPr>
        <w:pStyle w:val="BodyText"/>
        <w:ind w:left="359"/>
      </w:pPr>
      <w:r>
        <w:t>The</w:t>
      </w:r>
      <w:r>
        <w:rPr>
          <w:spacing w:val="-2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Brooklyn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heavy</w:t>
      </w:r>
      <w:r>
        <w:rPr>
          <w:spacing w:val="-2"/>
        </w:rPr>
        <w:t xml:space="preserve"> </w:t>
      </w:r>
      <w:r>
        <w:t>metals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chromium,</w:t>
      </w:r>
      <w:r>
        <w:rPr>
          <w:spacing w:val="-2"/>
        </w:rPr>
        <w:t xml:space="preserve"> </w:t>
      </w:r>
      <w:r>
        <w:t>nickel,</w:t>
      </w:r>
      <w:r>
        <w:rPr>
          <w:spacing w:val="-2"/>
        </w:rPr>
        <w:t xml:space="preserve"> </w:t>
      </w:r>
      <w:r>
        <w:t>arsenic, cadmium, and lead.</w:t>
      </w:r>
      <w:r>
        <w:rPr>
          <w:spacing w:val="40"/>
        </w:rPr>
        <w:t xml:space="preserve"> </w:t>
      </w:r>
      <w:r>
        <w:t>Their guidance levels in soil are based on targets to achieve for total concentration of metals when remediating hazardous waste sites.</w:t>
      </w:r>
    </w:p>
    <w:p w14:paraId="63DD7030" w14:textId="77777777" w:rsidR="00232A2F" w:rsidRDefault="00303AFA">
      <w:pPr>
        <w:pStyle w:val="BodyText"/>
        <w:ind w:left="359"/>
      </w:pPr>
      <w:r>
        <w:t xml:space="preserve">The table below shows levels of total heavy metals in </w:t>
      </w:r>
      <w:proofErr w:type="gramStart"/>
      <w:r>
        <w:t>soils</w:t>
      </w:r>
      <w:proofErr w:type="gramEnd"/>
      <w:r>
        <w:t xml:space="preserve"> that can have unrestricted use based on New York State Department of Environmental Conservation (NYSDEC).</w:t>
      </w:r>
      <w:r>
        <w:rPr>
          <w:spacing w:val="40"/>
        </w:rPr>
        <w:t xml:space="preserve"> </w:t>
      </w:r>
      <w:r>
        <w:t>Assuming Mehlich-3 test extracts 75% of the total metal in soil, the third column represents the concentration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Mehlich-3</w:t>
      </w:r>
      <w:r>
        <w:rPr>
          <w:spacing w:val="-2"/>
        </w:rPr>
        <w:t xml:space="preserve"> </w:t>
      </w:r>
      <w:r>
        <w:t>heavy</w:t>
      </w:r>
      <w:r>
        <w:rPr>
          <w:spacing w:val="-2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concentrations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unrestricted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occur.</w:t>
      </w:r>
      <w:r>
        <w:rPr>
          <w:spacing w:val="3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publications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Penn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Rutgers </w:t>
      </w:r>
      <w:proofErr w:type="gramStart"/>
      <w:r>
        <w:t>provides</w:t>
      </w:r>
      <w:proofErr w:type="gramEnd"/>
      <w:r>
        <w:t xml:space="preserve"> guidance on actions that can be taken for garden soils when soil lead levels are elevated.</w:t>
      </w:r>
    </w:p>
    <w:p w14:paraId="63DD7031" w14:textId="77777777" w:rsidR="00232A2F" w:rsidRDefault="00232A2F">
      <w:pPr>
        <w:pStyle w:val="BodyText"/>
        <w:spacing w:before="4"/>
        <w:rPr>
          <w:sz w:val="16"/>
        </w:rPr>
      </w:pPr>
    </w:p>
    <w:tbl>
      <w:tblPr>
        <w:tblW w:w="0" w:type="auto"/>
        <w:tblInd w:w="2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1800"/>
        <w:gridCol w:w="1800"/>
      </w:tblGrid>
      <w:tr w:rsidR="00232A2F" w14:paraId="63DD7037" w14:textId="77777777">
        <w:trPr>
          <w:trHeight w:val="1355"/>
        </w:trPr>
        <w:tc>
          <w:tcPr>
            <w:tcW w:w="2065" w:type="dxa"/>
          </w:tcPr>
          <w:p w14:paraId="63DD7032" w14:textId="77777777" w:rsidR="00232A2F" w:rsidRDefault="00232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63DD7033" w14:textId="77777777" w:rsidR="00232A2F" w:rsidRDefault="00303AFA">
            <w:pPr>
              <w:pStyle w:val="TableParagraph"/>
              <w:spacing w:before="1" w:line="276" w:lineRule="auto"/>
              <w:ind w:right="238" w:hanging="1"/>
              <w:rPr>
                <w:sz w:val="17"/>
              </w:rPr>
            </w:pPr>
            <w:r>
              <w:rPr>
                <w:sz w:val="17"/>
              </w:rPr>
              <w:t>NYSDEC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unrestricted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use</w:t>
            </w:r>
          </w:p>
          <w:p w14:paraId="63DD7034" w14:textId="77777777" w:rsidR="00232A2F" w:rsidRDefault="00303AFA">
            <w:pPr>
              <w:pStyle w:val="TableParagraph"/>
              <w:spacing w:before="199"/>
              <w:rPr>
                <w:sz w:val="17"/>
              </w:rPr>
            </w:pPr>
            <w:r>
              <w:rPr>
                <w:sz w:val="17"/>
              </w:rPr>
              <w:t>Total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conc.</w:t>
            </w:r>
            <w:r>
              <w:rPr>
                <w:spacing w:val="-2"/>
                <w:sz w:val="17"/>
              </w:rPr>
              <w:t xml:space="preserve"> (mg/kg)</w:t>
            </w:r>
          </w:p>
        </w:tc>
        <w:tc>
          <w:tcPr>
            <w:tcW w:w="1800" w:type="dxa"/>
          </w:tcPr>
          <w:p w14:paraId="63DD7035" w14:textId="77777777" w:rsidR="00232A2F" w:rsidRDefault="00303AFA">
            <w:pPr>
              <w:pStyle w:val="TableParagraph"/>
              <w:spacing w:before="1" w:line="276" w:lineRule="auto"/>
              <w:ind w:right="237"/>
              <w:rPr>
                <w:sz w:val="17"/>
              </w:rPr>
            </w:pPr>
            <w:r>
              <w:rPr>
                <w:sz w:val="17"/>
              </w:rPr>
              <w:t>NYSDEC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unrestricted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use</w:t>
            </w:r>
          </w:p>
          <w:p w14:paraId="63DD7036" w14:textId="77777777" w:rsidR="00232A2F" w:rsidRDefault="00303AFA">
            <w:pPr>
              <w:pStyle w:val="TableParagraph"/>
              <w:spacing w:before="199" w:line="276" w:lineRule="auto"/>
              <w:ind w:right="571"/>
              <w:rPr>
                <w:sz w:val="17"/>
              </w:rPr>
            </w:pPr>
            <w:r>
              <w:rPr>
                <w:sz w:val="17"/>
              </w:rPr>
              <w:t>Mehlich-3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conc.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(mg/kg)</w:t>
            </w:r>
          </w:p>
        </w:tc>
      </w:tr>
      <w:tr w:rsidR="00232A2F" w14:paraId="63DD703B" w14:textId="77777777">
        <w:trPr>
          <w:trHeight w:val="438"/>
        </w:trPr>
        <w:tc>
          <w:tcPr>
            <w:tcW w:w="2065" w:type="dxa"/>
          </w:tcPr>
          <w:p w14:paraId="63DD7038" w14:textId="77777777" w:rsidR="00232A2F" w:rsidRDefault="00303AFA">
            <w:pPr>
              <w:pStyle w:val="TableParagraph"/>
              <w:ind w:left="109"/>
              <w:rPr>
                <w:sz w:val="17"/>
              </w:rPr>
            </w:pPr>
            <w:r>
              <w:rPr>
                <w:sz w:val="17"/>
              </w:rPr>
              <w:t xml:space="preserve">Arsenic </w:t>
            </w:r>
            <w:r>
              <w:rPr>
                <w:spacing w:val="-4"/>
                <w:sz w:val="17"/>
              </w:rPr>
              <w:t>(As)</w:t>
            </w:r>
          </w:p>
        </w:tc>
        <w:tc>
          <w:tcPr>
            <w:tcW w:w="1800" w:type="dxa"/>
          </w:tcPr>
          <w:p w14:paraId="63DD7039" w14:textId="77777777" w:rsidR="00232A2F" w:rsidRDefault="00303AFA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800" w:type="dxa"/>
          </w:tcPr>
          <w:p w14:paraId="63DD703A" w14:textId="77777777" w:rsidR="00232A2F" w:rsidRDefault="00303AFA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</w:tr>
      <w:tr w:rsidR="00232A2F" w14:paraId="63DD703F" w14:textId="77777777">
        <w:trPr>
          <w:trHeight w:val="437"/>
        </w:trPr>
        <w:tc>
          <w:tcPr>
            <w:tcW w:w="2065" w:type="dxa"/>
          </w:tcPr>
          <w:p w14:paraId="63DD703C" w14:textId="77777777" w:rsidR="00232A2F" w:rsidRDefault="00303AFA">
            <w:pPr>
              <w:pStyle w:val="TableParagraph"/>
              <w:ind w:left="109"/>
              <w:rPr>
                <w:sz w:val="17"/>
              </w:rPr>
            </w:pPr>
            <w:r>
              <w:rPr>
                <w:sz w:val="17"/>
              </w:rPr>
              <w:t>Cadmium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(Cd)</w:t>
            </w:r>
          </w:p>
        </w:tc>
        <w:tc>
          <w:tcPr>
            <w:tcW w:w="1800" w:type="dxa"/>
          </w:tcPr>
          <w:p w14:paraId="63DD703D" w14:textId="77777777" w:rsidR="00232A2F" w:rsidRDefault="00303AFA">
            <w:pPr>
              <w:pStyle w:val="TableParagraph"/>
              <w:ind w:left="107"/>
              <w:rPr>
                <w:sz w:val="17"/>
              </w:rPr>
            </w:pPr>
            <w:r>
              <w:rPr>
                <w:spacing w:val="-5"/>
                <w:sz w:val="17"/>
              </w:rPr>
              <w:t>2.5</w:t>
            </w:r>
          </w:p>
        </w:tc>
        <w:tc>
          <w:tcPr>
            <w:tcW w:w="1800" w:type="dxa"/>
          </w:tcPr>
          <w:p w14:paraId="63DD703E" w14:textId="77777777" w:rsidR="00232A2F" w:rsidRDefault="00303AFA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1.9</w:t>
            </w:r>
          </w:p>
        </w:tc>
      </w:tr>
      <w:tr w:rsidR="00232A2F" w14:paraId="63DD7043" w14:textId="77777777">
        <w:trPr>
          <w:trHeight w:val="438"/>
        </w:trPr>
        <w:tc>
          <w:tcPr>
            <w:tcW w:w="2065" w:type="dxa"/>
          </w:tcPr>
          <w:p w14:paraId="63DD7040" w14:textId="77777777" w:rsidR="00232A2F" w:rsidRDefault="00303AFA">
            <w:pPr>
              <w:pStyle w:val="TableParagraph"/>
              <w:spacing w:before="1"/>
              <w:ind w:left="109"/>
              <w:rPr>
                <w:sz w:val="17"/>
              </w:rPr>
            </w:pPr>
            <w:r>
              <w:rPr>
                <w:sz w:val="17"/>
              </w:rPr>
              <w:t xml:space="preserve">Chromium </w:t>
            </w:r>
            <w:r>
              <w:rPr>
                <w:spacing w:val="-4"/>
                <w:sz w:val="17"/>
              </w:rPr>
              <w:t>(Cr)</w:t>
            </w:r>
          </w:p>
        </w:tc>
        <w:tc>
          <w:tcPr>
            <w:tcW w:w="1800" w:type="dxa"/>
          </w:tcPr>
          <w:p w14:paraId="63DD7041" w14:textId="77777777" w:rsidR="00232A2F" w:rsidRDefault="00303AFA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1800" w:type="dxa"/>
          </w:tcPr>
          <w:p w14:paraId="63DD7042" w14:textId="77777777" w:rsidR="00232A2F" w:rsidRDefault="00303AFA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</w:tr>
      <w:tr w:rsidR="00232A2F" w14:paraId="63DD7047" w14:textId="77777777">
        <w:trPr>
          <w:trHeight w:val="438"/>
        </w:trPr>
        <w:tc>
          <w:tcPr>
            <w:tcW w:w="2065" w:type="dxa"/>
          </w:tcPr>
          <w:p w14:paraId="63DD7044" w14:textId="77777777" w:rsidR="00232A2F" w:rsidRDefault="00303AFA">
            <w:pPr>
              <w:pStyle w:val="TableParagraph"/>
              <w:spacing w:before="1"/>
              <w:ind w:left="109"/>
              <w:rPr>
                <w:sz w:val="17"/>
              </w:rPr>
            </w:pPr>
            <w:r>
              <w:rPr>
                <w:sz w:val="17"/>
              </w:rPr>
              <w:t>Lead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(Pb)</w:t>
            </w:r>
          </w:p>
        </w:tc>
        <w:tc>
          <w:tcPr>
            <w:tcW w:w="1800" w:type="dxa"/>
          </w:tcPr>
          <w:p w14:paraId="63DD7045" w14:textId="77777777" w:rsidR="00232A2F" w:rsidRDefault="00303AFA">
            <w:pPr>
              <w:pStyle w:val="TableParagraph"/>
              <w:spacing w:before="1"/>
              <w:ind w:left="107"/>
              <w:rPr>
                <w:sz w:val="17"/>
              </w:rPr>
            </w:pPr>
            <w:r>
              <w:rPr>
                <w:spacing w:val="-5"/>
                <w:sz w:val="17"/>
              </w:rPr>
              <w:t>63</w:t>
            </w:r>
          </w:p>
        </w:tc>
        <w:tc>
          <w:tcPr>
            <w:tcW w:w="1800" w:type="dxa"/>
          </w:tcPr>
          <w:p w14:paraId="63DD7046" w14:textId="77777777" w:rsidR="00232A2F" w:rsidRDefault="00303AFA">
            <w:pPr>
              <w:pStyle w:val="TableParagraph"/>
              <w:spacing w:before="1"/>
              <w:ind w:left="107"/>
              <w:rPr>
                <w:sz w:val="17"/>
              </w:rPr>
            </w:pPr>
            <w:r>
              <w:rPr>
                <w:spacing w:val="-5"/>
                <w:sz w:val="17"/>
              </w:rPr>
              <w:t>47</w:t>
            </w:r>
          </w:p>
        </w:tc>
      </w:tr>
      <w:tr w:rsidR="00232A2F" w14:paraId="63DD704B" w14:textId="77777777">
        <w:trPr>
          <w:trHeight w:val="438"/>
        </w:trPr>
        <w:tc>
          <w:tcPr>
            <w:tcW w:w="2065" w:type="dxa"/>
          </w:tcPr>
          <w:p w14:paraId="63DD7048" w14:textId="77777777" w:rsidR="00232A2F" w:rsidRDefault="00303AFA">
            <w:pPr>
              <w:pStyle w:val="TableParagraph"/>
              <w:ind w:left="109"/>
              <w:rPr>
                <w:sz w:val="17"/>
              </w:rPr>
            </w:pPr>
            <w:r>
              <w:rPr>
                <w:sz w:val="17"/>
              </w:rPr>
              <w:t>Nickel</w:t>
            </w:r>
            <w:r>
              <w:rPr>
                <w:spacing w:val="-4"/>
                <w:sz w:val="17"/>
              </w:rPr>
              <w:t xml:space="preserve"> (Ni)</w:t>
            </w:r>
          </w:p>
        </w:tc>
        <w:tc>
          <w:tcPr>
            <w:tcW w:w="1800" w:type="dxa"/>
          </w:tcPr>
          <w:p w14:paraId="63DD7049" w14:textId="77777777" w:rsidR="00232A2F" w:rsidRDefault="00303AFA">
            <w:pPr>
              <w:pStyle w:val="TableParagraph"/>
              <w:ind w:left="107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1800" w:type="dxa"/>
          </w:tcPr>
          <w:p w14:paraId="63DD704A" w14:textId="77777777" w:rsidR="00232A2F" w:rsidRDefault="00303AFA">
            <w:pPr>
              <w:pStyle w:val="TableParagraph"/>
              <w:ind w:left="107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</w:tr>
    </w:tbl>
    <w:p w14:paraId="63DD704C" w14:textId="77777777" w:rsidR="00232A2F" w:rsidRDefault="00232A2F">
      <w:pPr>
        <w:pStyle w:val="BodyText"/>
        <w:spacing w:before="204"/>
      </w:pPr>
    </w:p>
    <w:p w14:paraId="63DD704D" w14:textId="77777777" w:rsidR="00232A2F" w:rsidRDefault="00303AFA">
      <w:pPr>
        <w:pStyle w:val="Heading3"/>
      </w:pPr>
      <w:r>
        <w:t>Useful</w:t>
      </w:r>
      <w:r>
        <w:rPr>
          <w:spacing w:val="-5"/>
        </w:rPr>
        <w:t xml:space="preserve"> </w:t>
      </w:r>
      <w:r>
        <w:rPr>
          <w:spacing w:val="-2"/>
        </w:rPr>
        <w:t>publications:</w:t>
      </w:r>
    </w:p>
    <w:p w14:paraId="63DD704E" w14:textId="77777777" w:rsidR="00232A2F" w:rsidRDefault="00303AFA">
      <w:pPr>
        <w:pStyle w:val="BodyText"/>
        <w:ind w:left="360" w:right="3827"/>
      </w:pPr>
      <w:r>
        <w:t>Lead</w:t>
      </w:r>
      <w:r>
        <w:rPr>
          <w:spacing w:val="-6"/>
        </w:rPr>
        <w:t xml:space="preserve"> </w:t>
      </w:r>
      <w:r>
        <w:t>Contaminated</w:t>
      </w:r>
      <w:r>
        <w:rPr>
          <w:spacing w:val="-6"/>
        </w:rPr>
        <w:t xml:space="preserve"> </w:t>
      </w:r>
      <w:r>
        <w:t>Soil:</w:t>
      </w:r>
      <w:r>
        <w:rPr>
          <w:spacing w:val="-6"/>
        </w:rPr>
        <w:t xml:space="preserve"> </w:t>
      </w:r>
      <w:r>
        <w:t>Minimizing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Risks,</w:t>
      </w:r>
      <w:r>
        <w:rPr>
          <w:spacing w:val="-6"/>
        </w:rPr>
        <w:t xml:space="preserve"> </w:t>
      </w:r>
      <w:r>
        <w:t>Rutgers</w:t>
      </w:r>
      <w:r>
        <w:rPr>
          <w:spacing w:val="-6"/>
        </w:rPr>
        <w:t xml:space="preserve"> </w:t>
      </w:r>
      <w:r>
        <w:t xml:space="preserve">University </w:t>
      </w:r>
      <w:hyperlink r:id="rId7">
        <w:r>
          <w:rPr>
            <w:color w:val="0000FF"/>
            <w:spacing w:val="-2"/>
            <w:u w:val="single" w:color="0000FF"/>
          </w:rPr>
          <w:t>https://njaes.rutgers.edu/fs336/</w:t>
        </w:r>
      </w:hyperlink>
    </w:p>
    <w:p w14:paraId="63DD704F" w14:textId="77777777" w:rsidR="00232A2F" w:rsidRDefault="00303AFA">
      <w:pPr>
        <w:spacing w:before="1"/>
        <w:ind w:left="360"/>
        <w:rPr>
          <w:i/>
          <w:sz w:val="19"/>
        </w:rPr>
      </w:pPr>
      <w:r>
        <w:rPr>
          <w:i/>
          <w:sz w:val="19"/>
        </w:rPr>
        <w:t>Contents: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Guidance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on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actions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to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take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with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different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levels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lead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soil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based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on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Mehlich-3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soil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test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unit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ppm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which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equals</w:t>
      </w:r>
      <w:r>
        <w:rPr>
          <w:i/>
          <w:spacing w:val="-5"/>
          <w:sz w:val="19"/>
        </w:rPr>
        <w:t xml:space="preserve"> </w:t>
      </w:r>
      <w:r>
        <w:rPr>
          <w:i/>
          <w:spacing w:val="-2"/>
          <w:sz w:val="19"/>
        </w:rPr>
        <w:t>mg/kg.</w:t>
      </w:r>
    </w:p>
    <w:p w14:paraId="63DD7050" w14:textId="77777777" w:rsidR="00232A2F" w:rsidRDefault="00303AFA">
      <w:pPr>
        <w:pStyle w:val="BodyText"/>
        <w:ind w:left="360" w:right="3827"/>
      </w:pPr>
      <w:r>
        <w:t xml:space="preserve">Lead in Residential Soils: Sources, Testing, and Reducing Exposure, Penn State University </w:t>
      </w:r>
      <w:hyperlink r:id="rId8">
        <w:r>
          <w:rPr>
            <w:color w:val="0000FF"/>
            <w:spacing w:val="-2"/>
            <w:u w:val="single" w:color="0000FF"/>
          </w:rPr>
          <w:t>https://extension.psu.edu/lead-in-residential-soils-sources-testing-and-reducing-exposure</w:t>
        </w:r>
      </w:hyperlink>
    </w:p>
    <w:p w14:paraId="63DD7051" w14:textId="77777777" w:rsidR="00232A2F" w:rsidRDefault="00303AFA">
      <w:pPr>
        <w:ind w:left="360"/>
        <w:rPr>
          <w:i/>
          <w:sz w:val="19"/>
        </w:rPr>
      </w:pPr>
      <w:r>
        <w:rPr>
          <w:i/>
          <w:sz w:val="19"/>
        </w:rPr>
        <w:t>Contents: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Guidance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on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actions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to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take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with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different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levels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lead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soil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based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on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total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concentration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soil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unit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ppm which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 xml:space="preserve">equals </w:t>
      </w:r>
      <w:r>
        <w:rPr>
          <w:i/>
          <w:spacing w:val="-2"/>
          <w:sz w:val="19"/>
        </w:rPr>
        <w:t>mg/kg.</w:t>
      </w:r>
    </w:p>
    <w:p w14:paraId="63DD7052" w14:textId="77777777" w:rsidR="00232A2F" w:rsidRDefault="00303AFA">
      <w:pPr>
        <w:pStyle w:val="BodyText"/>
        <w:ind w:left="360" w:right="2512"/>
      </w:pPr>
      <w:r>
        <w:t>Soil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Data:</w:t>
      </w:r>
      <w:r>
        <w:rPr>
          <w:spacing w:val="-4"/>
        </w:rPr>
        <w:t xml:space="preserve"> </w:t>
      </w:r>
      <w:r>
        <w:t>Heavy</w:t>
      </w:r>
      <w:r>
        <w:rPr>
          <w:spacing w:val="-4"/>
        </w:rPr>
        <w:t xml:space="preserve"> </w:t>
      </w:r>
      <w:r>
        <w:t>Metals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Garden</w:t>
      </w:r>
      <w:r>
        <w:rPr>
          <w:spacing w:val="-4"/>
        </w:rPr>
        <w:t xml:space="preserve"> </w:t>
      </w:r>
      <w:r>
        <w:t>Soil,</w:t>
      </w:r>
      <w:r>
        <w:rPr>
          <w:spacing w:val="-4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Analytical</w:t>
      </w:r>
      <w:r>
        <w:rPr>
          <w:spacing w:val="-4"/>
        </w:rPr>
        <w:t xml:space="preserve"> </w:t>
      </w:r>
      <w:proofErr w:type="spellStart"/>
      <w:r>
        <w:t>Center@Brooklyn</w:t>
      </w:r>
      <w:proofErr w:type="spellEnd"/>
      <w:r>
        <w:rPr>
          <w:spacing w:val="-4"/>
        </w:rPr>
        <w:t xml:space="preserve"> </w:t>
      </w:r>
      <w:r>
        <w:t xml:space="preserve">College </w:t>
      </w:r>
      <w:hyperlink r:id="rId9">
        <w:r>
          <w:rPr>
            <w:color w:val="0000FF"/>
            <w:spacing w:val="-2"/>
            <w:u w:val="single" w:color="0000FF"/>
          </w:rPr>
          <w:t>https://radixcenter.files.wordpress.com/2015/04/brooklyn-college-heavy-metals-in-garden-soil.pdf</w:t>
        </w:r>
      </w:hyperlink>
    </w:p>
    <w:p w14:paraId="63DD7053" w14:textId="77777777" w:rsidR="00232A2F" w:rsidRDefault="00303AFA">
      <w:pPr>
        <w:ind w:left="360"/>
        <w:rPr>
          <w:i/>
          <w:sz w:val="19"/>
        </w:rPr>
      </w:pPr>
      <w:r>
        <w:rPr>
          <w:i/>
          <w:sz w:val="19"/>
        </w:rPr>
        <w:t>Contents: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Levels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chromium,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nickel,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arsenic,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cadmium,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and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lead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soil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as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soil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clean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up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objectives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for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remediating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hazardous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waste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sites. Levels represent total metal concentrations in soil in unit of ppm which equals mg/kg.</w:t>
      </w:r>
    </w:p>
    <w:sectPr w:rsidR="00232A2F">
      <w:footerReference w:type="default" r:id="rId10"/>
      <w:type w:val="continuous"/>
      <w:pgSz w:w="12240" w:h="15840"/>
      <w:pgMar w:top="480" w:right="720" w:bottom="1060" w:left="360" w:header="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E279" w14:textId="77777777" w:rsidR="000E3C10" w:rsidRDefault="000E3C10">
      <w:r>
        <w:separator/>
      </w:r>
    </w:p>
  </w:endnote>
  <w:endnote w:type="continuationSeparator" w:id="0">
    <w:p w14:paraId="1111CCCD" w14:textId="77777777" w:rsidR="000E3C10" w:rsidRDefault="000E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705A" w14:textId="0C2AC94B" w:rsidR="00232A2F" w:rsidRDefault="00232A2F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3AE7" w14:textId="77777777" w:rsidR="000E3C10" w:rsidRDefault="000E3C10">
      <w:r>
        <w:separator/>
      </w:r>
    </w:p>
  </w:footnote>
  <w:footnote w:type="continuationSeparator" w:id="0">
    <w:p w14:paraId="3BFBE545" w14:textId="77777777" w:rsidR="000E3C10" w:rsidRDefault="000E3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A2F"/>
    <w:rsid w:val="000E3C10"/>
    <w:rsid w:val="00232A2F"/>
    <w:rsid w:val="00303AFA"/>
    <w:rsid w:val="00BB0022"/>
    <w:rsid w:val="00C409E9"/>
    <w:rsid w:val="00DF64A0"/>
    <w:rsid w:val="00E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D7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535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32" w:lineRule="exact"/>
      <w:ind w:left="362"/>
      <w:jc w:val="center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BB0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02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B0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2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psu.edu/lead-in-residential-soils-sources-testing-and-reducing-exposure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njaes.rutgers.edu/fs336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radixcenter.files.wordpress.com/2015/04/brooklyn-college-heavy-metals-in-garden-soil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53675D-3ABD-4286-822F-E23721A350C5}"/>
</file>

<file path=customXml/itemProps2.xml><?xml version="1.0" encoding="utf-8"?>
<ds:datastoreItem xmlns:ds="http://schemas.openxmlformats.org/officeDocument/2006/customXml" ds:itemID="{36F34664-648F-4251-9A4B-185F8F8AC3B6}"/>
</file>

<file path=customXml/itemProps3.xml><?xml version="1.0" encoding="utf-8"?>
<ds:datastoreItem xmlns:ds="http://schemas.openxmlformats.org/officeDocument/2006/customXml" ds:itemID="{FBB7BE1A-F71B-42E8-B775-57526DBC53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2734</Characters>
  <Application>Microsoft Office Word</Application>
  <DocSecurity>0</DocSecurity>
  <Lines>151</Lines>
  <Paragraphs>115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2026-04-07T20:46:00Z</dcterms:created>
  <dcterms:modified xsi:type="dcterms:W3CDTF">2026-04-07T20:46:00Z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2026-04-06T00:00:00Z</vt:filetime>
  </property>
  <property fmtid="{D5CDD505-2E9C-101B-9397-08002B2CF9AE}" pid="3" name="Created">
    <vt:filetime>2024-03-28T00:00:00Z</vt:filetime>
  </property>
  <property fmtid="{D5CDD505-2E9C-101B-9397-08002B2CF9AE}" pid="4" name="ContentTypeId">
    <vt:lpwstr>0x010100EEEA71842134064FA3F884B9051886A8</vt:lpwstr>
  </property>
  <property fmtid="{D5CDD505-2E9C-101B-9397-08002B2CF9AE}" pid="5" name="Creator">
    <vt:lpwstr>PScript5.dll Version 5.2.2</vt:lpwstr>
  </property>
  <property fmtid="{D5CDD505-2E9C-101B-9397-08002B2CF9AE}" pid="6" name="Producer">
    <vt:lpwstr>Acrobat Distiller 23.0 (Windows)</vt:lpwstr>
  </property>
</Properties>
</file>