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890D" w14:textId="77777777" w:rsidR="007937F7" w:rsidRDefault="00A6065F">
      <w:pPr>
        <w:pStyle w:val="Heading1"/>
        <w:spacing w:line="247" w:lineRule="auto"/>
      </w:pPr>
      <w:r>
        <w:t>250.111</w:t>
      </w:r>
      <w:r>
        <w:rPr>
          <w:spacing w:val="80"/>
        </w:rPr>
        <w:t xml:space="preserve"> </w:t>
      </w:r>
      <w:r>
        <w:t>Actions for violations of KRS 250.021 to 250.111 -- Informal hearing --</w:t>
      </w:r>
      <w:r>
        <w:rPr>
          <w:spacing w:val="-2"/>
        </w:rPr>
        <w:t>Injunctions.</w:t>
      </w:r>
    </w:p>
    <w:p w14:paraId="0A2B890E" w14:textId="77777777" w:rsidR="007937F7" w:rsidRDefault="00A6065F">
      <w:pPr>
        <w:pStyle w:val="ListParagraph"/>
        <w:numPr>
          <w:ilvl w:val="0"/>
          <w:numId w:val="1"/>
        </w:numPr>
        <w:tabs>
          <w:tab w:val="left" w:pos="546"/>
        </w:tabs>
        <w:spacing w:before="114"/>
        <w:ind w:left="546" w:hanging="546"/>
        <w:jc w:val="both"/>
        <w:rPr>
          <w:sz w:val="24"/>
        </w:rPr>
      </w:pPr>
      <w:r>
        <w:rPr>
          <w:sz w:val="24"/>
        </w:rPr>
        <w:t>If</w:t>
      </w:r>
      <w:r>
        <w:rPr>
          <w:spacing w:val="42"/>
          <w:sz w:val="24"/>
        </w:rPr>
        <w:t xml:space="preserve"> </w:t>
      </w:r>
      <w:r>
        <w:rPr>
          <w:sz w:val="24"/>
        </w:rPr>
        <w:t>the</w:t>
      </w:r>
      <w:r>
        <w:rPr>
          <w:spacing w:val="43"/>
          <w:sz w:val="24"/>
        </w:rPr>
        <w:t xml:space="preserve"> </w:t>
      </w:r>
      <w:r>
        <w:rPr>
          <w:sz w:val="24"/>
        </w:rPr>
        <w:t>director</w:t>
      </w:r>
      <w:r>
        <w:rPr>
          <w:spacing w:val="44"/>
          <w:sz w:val="24"/>
        </w:rPr>
        <w:t xml:space="preserve"> </w:t>
      </w:r>
      <w:r>
        <w:rPr>
          <w:sz w:val="24"/>
        </w:rPr>
        <w:t>has</w:t>
      </w:r>
      <w:r>
        <w:rPr>
          <w:spacing w:val="44"/>
          <w:sz w:val="24"/>
        </w:rPr>
        <w:t xml:space="preserve"> </w:t>
      </w:r>
      <w:r>
        <w:rPr>
          <w:sz w:val="24"/>
        </w:rPr>
        <w:t>probable</w:t>
      </w:r>
      <w:r>
        <w:rPr>
          <w:spacing w:val="42"/>
          <w:sz w:val="24"/>
        </w:rPr>
        <w:t xml:space="preserve"> </w:t>
      </w:r>
      <w:r>
        <w:rPr>
          <w:sz w:val="24"/>
        </w:rPr>
        <w:t>cause</w:t>
      </w:r>
      <w:r>
        <w:rPr>
          <w:spacing w:val="43"/>
          <w:sz w:val="24"/>
        </w:rPr>
        <w:t xml:space="preserve"> </w:t>
      </w:r>
      <w:r>
        <w:rPr>
          <w:sz w:val="24"/>
        </w:rPr>
        <w:t>to</w:t>
      </w:r>
      <w:r>
        <w:rPr>
          <w:spacing w:val="44"/>
          <w:sz w:val="24"/>
        </w:rPr>
        <w:t xml:space="preserve"> </w:t>
      </w:r>
      <w:r>
        <w:rPr>
          <w:sz w:val="24"/>
        </w:rPr>
        <w:t>believe</w:t>
      </w:r>
      <w:r>
        <w:rPr>
          <w:spacing w:val="43"/>
          <w:sz w:val="24"/>
        </w:rPr>
        <w:t xml:space="preserve"> </w:t>
      </w:r>
      <w:r>
        <w:rPr>
          <w:sz w:val="24"/>
        </w:rPr>
        <w:t>that</w:t>
      </w:r>
      <w:r>
        <w:rPr>
          <w:spacing w:val="44"/>
          <w:sz w:val="24"/>
        </w:rPr>
        <w:t xml:space="preserve"> </w:t>
      </w:r>
      <w:r>
        <w:rPr>
          <w:sz w:val="24"/>
        </w:rPr>
        <w:t>any</w:t>
      </w:r>
      <w:r>
        <w:rPr>
          <w:spacing w:val="36"/>
          <w:sz w:val="24"/>
        </w:rPr>
        <w:t xml:space="preserve"> </w:t>
      </w:r>
      <w:r>
        <w:rPr>
          <w:sz w:val="24"/>
        </w:rPr>
        <w:t>of</w:t>
      </w:r>
      <w:r>
        <w:rPr>
          <w:spacing w:val="43"/>
          <w:sz w:val="24"/>
        </w:rPr>
        <w:t xml:space="preserve"> </w:t>
      </w:r>
      <w:r>
        <w:rPr>
          <w:sz w:val="24"/>
        </w:rPr>
        <w:t>the</w:t>
      </w:r>
      <w:r>
        <w:rPr>
          <w:spacing w:val="43"/>
          <w:sz w:val="24"/>
        </w:rPr>
        <w:t xml:space="preserve"> </w:t>
      </w:r>
      <w:r>
        <w:rPr>
          <w:sz w:val="24"/>
        </w:rPr>
        <w:t>provisions</w:t>
      </w:r>
      <w:r>
        <w:rPr>
          <w:spacing w:val="44"/>
          <w:sz w:val="24"/>
        </w:rPr>
        <w:t xml:space="preserve"> </w:t>
      </w:r>
      <w:r>
        <w:rPr>
          <w:sz w:val="24"/>
        </w:rPr>
        <w:t>of</w:t>
      </w:r>
      <w:r>
        <w:rPr>
          <w:spacing w:val="43"/>
          <w:sz w:val="24"/>
        </w:rPr>
        <w:t xml:space="preserve"> </w:t>
      </w:r>
      <w:r>
        <w:rPr>
          <w:spacing w:val="-5"/>
          <w:sz w:val="24"/>
        </w:rPr>
        <w:t>KRS</w:t>
      </w:r>
    </w:p>
    <w:p w14:paraId="0A2B890F" w14:textId="77777777" w:rsidR="007937F7" w:rsidRDefault="00A6065F">
      <w:pPr>
        <w:pStyle w:val="BodyText"/>
        <w:spacing w:line="247" w:lineRule="auto"/>
        <w:ind w:right="355" w:firstLine="0"/>
      </w:pPr>
      <w:r>
        <w:t xml:space="preserve">250.021 to 250.111 have been violated, he shall give notice to the person who is in apparent violation designating a time and place for an informal hearing. If, after the informal hearing, or without </w:t>
      </w:r>
      <w:proofErr w:type="gramStart"/>
      <w:r>
        <w:t>the hearing</w:t>
      </w:r>
      <w:proofErr w:type="gramEnd"/>
      <w:r>
        <w:t xml:space="preserve"> if the person fails to appear, the director determines that a violation has occurred, he may issue a letter of reprimand, levy a fine</w:t>
      </w:r>
      <w:r>
        <w:rPr>
          <w:spacing w:val="-5"/>
        </w:rPr>
        <w:t xml:space="preserve"> </w:t>
      </w:r>
      <w:r>
        <w:t>pursuant</w:t>
      </w:r>
      <w:r>
        <w:rPr>
          <w:spacing w:val="-3"/>
        </w:rPr>
        <w:t xml:space="preserve"> </w:t>
      </w:r>
      <w:r>
        <w:t>to</w:t>
      </w:r>
      <w:r>
        <w:rPr>
          <w:spacing w:val="-3"/>
        </w:rPr>
        <w:t xml:space="preserve"> </w:t>
      </w:r>
      <w:r>
        <w:t>KRS</w:t>
      </w:r>
      <w:r>
        <w:rPr>
          <w:spacing w:val="-3"/>
        </w:rPr>
        <w:t xml:space="preserve"> </w:t>
      </w:r>
      <w:r>
        <w:t>250.990,</w:t>
      </w:r>
      <w:r>
        <w:rPr>
          <w:spacing w:val="-3"/>
        </w:rPr>
        <w:t xml:space="preserve"> </w:t>
      </w:r>
      <w:r>
        <w:t>or</w:t>
      </w:r>
      <w:r>
        <w:rPr>
          <w:spacing w:val="-4"/>
        </w:rPr>
        <w:t xml:space="preserve"> </w:t>
      </w:r>
      <w:r>
        <w:t>impose</w:t>
      </w:r>
      <w:r>
        <w:rPr>
          <w:spacing w:val="-4"/>
        </w:rPr>
        <w:t xml:space="preserve"> </w:t>
      </w:r>
      <w:r>
        <w:t>any</w:t>
      </w:r>
      <w:r>
        <w:rPr>
          <w:spacing w:val="-11"/>
        </w:rPr>
        <w:t xml:space="preserve"> </w:t>
      </w:r>
      <w:r>
        <w:t>other</w:t>
      </w:r>
      <w:r>
        <w:rPr>
          <w:spacing w:val="-5"/>
        </w:rPr>
        <w:t xml:space="preserve"> </w:t>
      </w:r>
      <w:r>
        <w:t>penalties</w:t>
      </w:r>
      <w:r>
        <w:rPr>
          <w:spacing w:val="-3"/>
        </w:rPr>
        <w:t xml:space="preserve"> </w:t>
      </w:r>
      <w:r>
        <w:t>or</w:t>
      </w:r>
      <w:r>
        <w:rPr>
          <w:spacing w:val="-4"/>
        </w:rPr>
        <w:t xml:space="preserve"> </w:t>
      </w:r>
      <w:r>
        <w:t>sanctions</w:t>
      </w:r>
      <w:r>
        <w:rPr>
          <w:spacing w:val="-3"/>
        </w:rPr>
        <w:t xml:space="preserve"> </w:t>
      </w:r>
      <w:r>
        <w:t>authorized under KRS 250.021 to 250.111.</w:t>
      </w:r>
      <w:r>
        <w:rPr>
          <w:spacing w:val="40"/>
        </w:rPr>
        <w:t xml:space="preserve"> </w:t>
      </w:r>
      <w:r>
        <w:t>Any penalty or sanction imposed as a result of an informal hearing may be appealed, and upon appeal an administrative hearing shall be conducted in accordance with KRS Chapter 13B.</w:t>
      </w:r>
    </w:p>
    <w:p w14:paraId="0A2B8910" w14:textId="77777777" w:rsidR="007937F7" w:rsidRDefault="00A6065F">
      <w:pPr>
        <w:pStyle w:val="ListParagraph"/>
        <w:numPr>
          <w:ilvl w:val="0"/>
          <w:numId w:val="1"/>
        </w:numPr>
        <w:tabs>
          <w:tab w:val="left" w:pos="545"/>
          <w:tab w:val="left" w:pos="547"/>
        </w:tabs>
        <w:spacing w:line="247" w:lineRule="auto"/>
        <w:ind w:right="358"/>
        <w:jc w:val="both"/>
        <w:rPr>
          <w:sz w:val="24"/>
        </w:rPr>
      </w:pPr>
      <w:r>
        <w:rPr>
          <w:sz w:val="24"/>
        </w:rPr>
        <w:t>The director may petition a court of competent jurisdiction for a temporary or permanent injunction restraining any person from violating or continuing to violate any provision of KRS 250.021 to 250.111 or any administrative regulation promulgated thereunder, notwithstanding the existence of other remedies of law. The injunction shall be issued without bond.</w:t>
      </w:r>
    </w:p>
    <w:p w14:paraId="0A2B8911" w14:textId="77777777" w:rsidR="007937F7" w:rsidRDefault="00A6065F">
      <w:pPr>
        <w:spacing w:before="59"/>
        <w:ind w:left="1440"/>
        <w:jc w:val="both"/>
        <w:rPr>
          <w:sz w:val="20"/>
        </w:rPr>
      </w:pPr>
      <w:r>
        <w:rPr>
          <w:b/>
          <w:sz w:val="20"/>
        </w:rPr>
        <w:t>Effective:</w:t>
      </w:r>
      <w:r>
        <w:rPr>
          <w:b/>
          <w:spacing w:val="15"/>
          <w:sz w:val="20"/>
        </w:rPr>
        <w:t xml:space="preserve"> </w:t>
      </w:r>
      <w:r>
        <w:rPr>
          <w:sz w:val="20"/>
        </w:rPr>
        <w:t>July</w:t>
      </w:r>
      <w:r>
        <w:rPr>
          <w:spacing w:val="-7"/>
          <w:sz w:val="20"/>
        </w:rPr>
        <w:t xml:space="preserve"> </w:t>
      </w:r>
      <w:r>
        <w:rPr>
          <w:sz w:val="20"/>
        </w:rPr>
        <w:t>15,</w:t>
      </w:r>
      <w:r>
        <w:rPr>
          <w:spacing w:val="-5"/>
          <w:sz w:val="20"/>
        </w:rPr>
        <w:t xml:space="preserve"> </w:t>
      </w:r>
      <w:r>
        <w:rPr>
          <w:spacing w:val="-4"/>
          <w:sz w:val="20"/>
        </w:rPr>
        <w:t>1996</w:t>
      </w:r>
    </w:p>
    <w:p w14:paraId="0A2B8912" w14:textId="77777777" w:rsidR="007937F7" w:rsidRDefault="00A6065F">
      <w:pPr>
        <w:spacing w:before="70"/>
        <w:ind w:left="1440"/>
        <w:jc w:val="both"/>
        <w:rPr>
          <w:sz w:val="20"/>
        </w:rPr>
      </w:pPr>
      <w:r>
        <w:rPr>
          <w:b/>
          <w:sz w:val="20"/>
        </w:rPr>
        <w:t>History:</w:t>
      </w:r>
      <w:r>
        <w:rPr>
          <w:b/>
          <w:spacing w:val="34"/>
          <w:sz w:val="20"/>
        </w:rPr>
        <w:t xml:space="preserve">  </w:t>
      </w:r>
      <w:r>
        <w:rPr>
          <w:sz w:val="20"/>
        </w:rPr>
        <w:t>Amended</w:t>
      </w:r>
      <w:r>
        <w:rPr>
          <w:spacing w:val="7"/>
          <w:sz w:val="20"/>
        </w:rPr>
        <w:t xml:space="preserve"> </w:t>
      </w:r>
      <w:r>
        <w:rPr>
          <w:sz w:val="20"/>
        </w:rPr>
        <w:t>1996</w:t>
      </w:r>
      <w:r>
        <w:rPr>
          <w:spacing w:val="6"/>
          <w:sz w:val="20"/>
        </w:rPr>
        <w:t xml:space="preserve"> </w:t>
      </w:r>
      <w:r>
        <w:rPr>
          <w:sz w:val="20"/>
        </w:rPr>
        <w:t>Ky.</w:t>
      </w:r>
      <w:r>
        <w:rPr>
          <w:spacing w:val="3"/>
          <w:sz w:val="20"/>
        </w:rPr>
        <w:t xml:space="preserve"> </w:t>
      </w:r>
      <w:r>
        <w:rPr>
          <w:sz w:val="20"/>
        </w:rPr>
        <w:t>Acts</w:t>
      </w:r>
      <w:r>
        <w:rPr>
          <w:spacing w:val="2"/>
          <w:sz w:val="20"/>
        </w:rPr>
        <w:t xml:space="preserve"> </w:t>
      </w:r>
      <w:proofErr w:type="spellStart"/>
      <w:r>
        <w:rPr>
          <w:sz w:val="20"/>
        </w:rPr>
        <w:t>ch.</w:t>
      </w:r>
      <w:proofErr w:type="spellEnd"/>
      <w:r>
        <w:rPr>
          <w:spacing w:val="3"/>
          <w:sz w:val="20"/>
        </w:rPr>
        <w:t xml:space="preserve"> </w:t>
      </w:r>
      <w:r>
        <w:rPr>
          <w:sz w:val="20"/>
        </w:rPr>
        <w:t>318,</w:t>
      </w:r>
      <w:r>
        <w:rPr>
          <w:spacing w:val="3"/>
          <w:sz w:val="20"/>
        </w:rPr>
        <w:t xml:space="preserve"> </w:t>
      </w:r>
      <w:r>
        <w:rPr>
          <w:sz w:val="20"/>
        </w:rPr>
        <w:t>sec.</w:t>
      </w:r>
      <w:r>
        <w:rPr>
          <w:spacing w:val="3"/>
          <w:sz w:val="20"/>
        </w:rPr>
        <w:t xml:space="preserve"> </w:t>
      </w:r>
      <w:r>
        <w:rPr>
          <w:sz w:val="20"/>
        </w:rPr>
        <w:t>165,</w:t>
      </w:r>
      <w:r>
        <w:rPr>
          <w:spacing w:val="3"/>
          <w:sz w:val="20"/>
        </w:rPr>
        <w:t xml:space="preserve"> </w:t>
      </w:r>
      <w:r>
        <w:rPr>
          <w:sz w:val="20"/>
        </w:rPr>
        <w:t>effective</w:t>
      </w:r>
      <w:r>
        <w:rPr>
          <w:spacing w:val="3"/>
          <w:sz w:val="20"/>
        </w:rPr>
        <w:t xml:space="preserve"> </w:t>
      </w:r>
      <w:r>
        <w:rPr>
          <w:sz w:val="20"/>
        </w:rPr>
        <w:t>July</w:t>
      </w:r>
      <w:r>
        <w:rPr>
          <w:spacing w:val="-1"/>
          <w:sz w:val="20"/>
        </w:rPr>
        <w:t xml:space="preserve"> </w:t>
      </w:r>
      <w:r>
        <w:rPr>
          <w:sz w:val="20"/>
        </w:rPr>
        <w:t>15,</w:t>
      </w:r>
      <w:r>
        <w:rPr>
          <w:spacing w:val="3"/>
          <w:sz w:val="20"/>
        </w:rPr>
        <w:t xml:space="preserve"> </w:t>
      </w:r>
      <w:r>
        <w:rPr>
          <w:sz w:val="20"/>
        </w:rPr>
        <w:t>1996.</w:t>
      </w:r>
      <w:r>
        <w:rPr>
          <w:spacing w:val="12"/>
          <w:sz w:val="20"/>
        </w:rPr>
        <w:t xml:space="preserve"> </w:t>
      </w:r>
      <w:r>
        <w:rPr>
          <w:sz w:val="20"/>
        </w:rPr>
        <w:t>--</w:t>
      </w:r>
      <w:r>
        <w:rPr>
          <w:spacing w:val="2"/>
          <w:sz w:val="20"/>
        </w:rPr>
        <w:t xml:space="preserve"> </w:t>
      </w:r>
      <w:r>
        <w:rPr>
          <w:spacing w:val="-2"/>
          <w:sz w:val="20"/>
        </w:rPr>
        <w:t>Created</w:t>
      </w:r>
    </w:p>
    <w:p w14:paraId="0A2B8913" w14:textId="77777777" w:rsidR="007937F7" w:rsidRDefault="00A6065F">
      <w:pPr>
        <w:spacing w:before="10"/>
        <w:ind w:left="1800"/>
        <w:jc w:val="both"/>
        <w:rPr>
          <w:sz w:val="20"/>
        </w:rPr>
      </w:pPr>
      <w:r>
        <w:rPr>
          <w:sz w:val="20"/>
        </w:rPr>
        <w:t>1994</w:t>
      </w:r>
      <w:r>
        <w:rPr>
          <w:spacing w:val="-4"/>
          <w:sz w:val="20"/>
        </w:rPr>
        <w:t xml:space="preserve"> </w:t>
      </w:r>
      <w:r>
        <w:rPr>
          <w:sz w:val="20"/>
        </w:rPr>
        <w:t>Ky.</w:t>
      </w:r>
      <w:r>
        <w:rPr>
          <w:spacing w:val="-4"/>
          <w:sz w:val="20"/>
        </w:rPr>
        <w:t xml:space="preserve"> </w:t>
      </w:r>
      <w:r>
        <w:rPr>
          <w:sz w:val="20"/>
        </w:rPr>
        <w:t>Acts</w:t>
      </w:r>
      <w:r>
        <w:rPr>
          <w:spacing w:val="-5"/>
          <w:sz w:val="20"/>
        </w:rPr>
        <w:t xml:space="preserve"> </w:t>
      </w:r>
      <w:proofErr w:type="spellStart"/>
      <w:r>
        <w:rPr>
          <w:sz w:val="20"/>
        </w:rPr>
        <w:t>ch.</w:t>
      </w:r>
      <w:proofErr w:type="spellEnd"/>
      <w:r>
        <w:rPr>
          <w:spacing w:val="-5"/>
          <w:sz w:val="20"/>
        </w:rPr>
        <w:t xml:space="preserve"> </w:t>
      </w:r>
      <w:r>
        <w:rPr>
          <w:sz w:val="20"/>
        </w:rPr>
        <w:t>370,</w:t>
      </w:r>
      <w:r>
        <w:rPr>
          <w:spacing w:val="-4"/>
          <w:sz w:val="20"/>
        </w:rPr>
        <w:t xml:space="preserve"> </w:t>
      </w:r>
      <w:r>
        <w:rPr>
          <w:sz w:val="20"/>
        </w:rPr>
        <w:t>sec.</w:t>
      </w:r>
      <w:r>
        <w:rPr>
          <w:spacing w:val="-4"/>
          <w:sz w:val="20"/>
        </w:rPr>
        <w:t xml:space="preserve"> </w:t>
      </w:r>
      <w:r>
        <w:rPr>
          <w:sz w:val="20"/>
        </w:rPr>
        <w:t>10,</w:t>
      </w:r>
      <w:r>
        <w:rPr>
          <w:spacing w:val="-4"/>
          <w:sz w:val="20"/>
        </w:rPr>
        <w:t xml:space="preserve"> </w:t>
      </w:r>
      <w:r>
        <w:rPr>
          <w:sz w:val="20"/>
        </w:rPr>
        <w:t>effective</w:t>
      </w:r>
      <w:r>
        <w:rPr>
          <w:spacing w:val="-5"/>
          <w:sz w:val="20"/>
        </w:rPr>
        <w:t xml:space="preserve"> </w:t>
      </w:r>
      <w:r>
        <w:rPr>
          <w:sz w:val="20"/>
        </w:rPr>
        <w:t>April</w:t>
      </w:r>
      <w:r>
        <w:rPr>
          <w:spacing w:val="-5"/>
          <w:sz w:val="20"/>
        </w:rPr>
        <w:t xml:space="preserve"> </w:t>
      </w:r>
      <w:r>
        <w:rPr>
          <w:sz w:val="20"/>
        </w:rPr>
        <w:t>8,</w:t>
      </w:r>
      <w:r>
        <w:rPr>
          <w:spacing w:val="-4"/>
          <w:sz w:val="20"/>
        </w:rPr>
        <w:t xml:space="preserve"> </w:t>
      </w:r>
      <w:r>
        <w:rPr>
          <w:spacing w:val="-2"/>
          <w:sz w:val="20"/>
        </w:rPr>
        <w:t>1994.</w:t>
      </w:r>
    </w:p>
    <w:p w14:paraId="0A2B8914" w14:textId="77777777" w:rsidR="007937F7" w:rsidRDefault="00A6065F">
      <w:pPr>
        <w:spacing w:before="70" w:line="249" w:lineRule="auto"/>
        <w:ind w:left="1800" w:right="361" w:hanging="360"/>
        <w:jc w:val="both"/>
        <w:rPr>
          <w:sz w:val="20"/>
        </w:rPr>
      </w:pPr>
      <w:r>
        <w:rPr>
          <w:b/>
          <w:sz w:val="20"/>
        </w:rPr>
        <w:t xml:space="preserve">Legislative Research Commission Note </w:t>
      </w:r>
      <w:r>
        <w:rPr>
          <w:sz w:val="20"/>
        </w:rPr>
        <w:t>(4/8/94).</w:t>
      </w:r>
      <w:r>
        <w:rPr>
          <w:spacing w:val="40"/>
          <w:sz w:val="20"/>
        </w:rPr>
        <w:t xml:space="preserve"> </w:t>
      </w:r>
      <w:r>
        <w:rPr>
          <w:sz w:val="20"/>
        </w:rPr>
        <w:t xml:space="preserve">Although the section of 1994 Ky. Acts </w:t>
      </w:r>
      <w:proofErr w:type="spellStart"/>
      <w:r>
        <w:rPr>
          <w:sz w:val="20"/>
        </w:rPr>
        <w:t>ch.</w:t>
      </w:r>
      <w:proofErr w:type="spellEnd"/>
      <w:r>
        <w:rPr>
          <w:sz w:val="20"/>
        </w:rPr>
        <w:t xml:space="preserve"> 370 creating this statute directed its placement in KRS Chapter 350, it is clear from the subject matter of this statute and the structure of </w:t>
      </w:r>
      <w:proofErr w:type="spellStart"/>
      <w:r>
        <w:rPr>
          <w:sz w:val="20"/>
        </w:rPr>
        <w:t>ch.</w:t>
      </w:r>
      <w:proofErr w:type="spellEnd"/>
      <w:r>
        <w:rPr>
          <w:sz w:val="20"/>
        </w:rPr>
        <w:t xml:space="preserve"> 370 that placement in KRS Chapter 250 was intended, and this has been done in codification pursuant to KRS 7.136(1)(h).</w:t>
      </w:r>
    </w:p>
    <w:sectPr w:rsidR="007937F7">
      <w:type w:val="continuous"/>
      <w:pgSz w:w="12240" w:h="15840"/>
      <w:pgMar w:top="138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C18E" w14:textId="77777777" w:rsidR="00A6065F" w:rsidRDefault="00A6065F" w:rsidP="00BE7F28">
      <w:r>
        <w:separator/>
      </w:r>
    </w:p>
  </w:endnote>
  <w:endnote w:type="continuationSeparator" w:id="0">
    <w:p w14:paraId="5ECA089D" w14:textId="77777777" w:rsidR="00A6065F" w:rsidRDefault="00A6065F" w:rsidP="00BE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CD7A" w14:textId="77777777" w:rsidR="00A6065F" w:rsidRDefault="00A6065F" w:rsidP="00BE7F28">
      <w:r>
        <w:separator/>
      </w:r>
    </w:p>
  </w:footnote>
  <w:footnote w:type="continuationSeparator" w:id="0">
    <w:p w14:paraId="346DC913" w14:textId="77777777" w:rsidR="00A6065F" w:rsidRDefault="00A6065F" w:rsidP="00BE7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7304"/>
    <w:multiLevelType w:val="hybridMultilevel"/>
    <w:tmpl w:val="54E07584"/>
    <w:lvl w:ilvl="0" w:tplc="EEFA70BA">
      <w:start w:val="1"/>
      <w:numFmt w:val="decimal"/>
      <w:lvlText w:val="(%1)"/>
      <w:lvlJc w:val="left"/>
      <w:pPr>
        <w:ind w:left="547"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F70288A">
      <w:numFmt w:val="bullet"/>
      <w:lvlText w:val="•"/>
      <w:lvlJc w:val="left"/>
      <w:pPr>
        <w:ind w:left="1386" w:hanging="548"/>
      </w:pPr>
      <w:rPr>
        <w:rFonts w:hint="default"/>
        <w:lang w:val="en-US" w:eastAsia="en-US" w:bidi="ar-SA"/>
      </w:rPr>
    </w:lvl>
    <w:lvl w:ilvl="2" w:tplc="85466A44">
      <w:numFmt w:val="bullet"/>
      <w:lvlText w:val="•"/>
      <w:lvlJc w:val="left"/>
      <w:pPr>
        <w:ind w:left="2232" w:hanging="548"/>
      </w:pPr>
      <w:rPr>
        <w:rFonts w:hint="default"/>
        <w:lang w:val="en-US" w:eastAsia="en-US" w:bidi="ar-SA"/>
      </w:rPr>
    </w:lvl>
    <w:lvl w:ilvl="3" w:tplc="363AD86A">
      <w:numFmt w:val="bullet"/>
      <w:lvlText w:val="•"/>
      <w:lvlJc w:val="left"/>
      <w:pPr>
        <w:ind w:left="3078" w:hanging="548"/>
      </w:pPr>
      <w:rPr>
        <w:rFonts w:hint="default"/>
        <w:lang w:val="en-US" w:eastAsia="en-US" w:bidi="ar-SA"/>
      </w:rPr>
    </w:lvl>
    <w:lvl w:ilvl="4" w:tplc="FA369CEC">
      <w:numFmt w:val="bullet"/>
      <w:lvlText w:val="•"/>
      <w:lvlJc w:val="left"/>
      <w:pPr>
        <w:ind w:left="3924" w:hanging="548"/>
      </w:pPr>
      <w:rPr>
        <w:rFonts w:hint="default"/>
        <w:lang w:val="en-US" w:eastAsia="en-US" w:bidi="ar-SA"/>
      </w:rPr>
    </w:lvl>
    <w:lvl w:ilvl="5" w:tplc="B4469964">
      <w:numFmt w:val="bullet"/>
      <w:lvlText w:val="•"/>
      <w:lvlJc w:val="left"/>
      <w:pPr>
        <w:ind w:left="4770" w:hanging="548"/>
      </w:pPr>
      <w:rPr>
        <w:rFonts w:hint="default"/>
        <w:lang w:val="en-US" w:eastAsia="en-US" w:bidi="ar-SA"/>
      </w:rPr>
    </w:lvl>
    <w:lvl w:ilvl="6" w:tplc="373C406E">
      <w:numFmt w:val="bullet"/>
      <w:lvlText w:val="•"/>
      <w:lvlJc w:val="left"/>
      <w:pPr>
        <w:ind w:left="5616" w:hanging="548"/>
      </w:pPr>
      <w:rPr>
        <w:rFonts w:hint="default"/>
        <w:lang w:val="en-US" w:eastAsia="en-US" w:bidi="ar-SA"/>
      </w:rPr>
    </w:lvl>
    <w:lvl w:ilvl="7" w:tplc="51EAE9A8">
      <w:numFmt w:val="bullet"/>
      <w:lvlText w:val="•"/>
      <w:lvlJc w:val="left"/>
      <w:pPr>
        <w:ind w:left="6462" w:hanging="548"/>
      </w:pPr>
      <w:rPr>
        <w:rFonts w:hint="default"/>
        <w:lang w:val="en-US" w:eastAsia="en-US" w:bidi="ar-SA"/>
      </w:rPr>
    </w:lvl>
    <w:lvl w:ilvl="8" w:tplc="88604490">
      <w:numFmt w:val="bullet"/>
      <w:lvlText w:val="•"/>
      <w:lvlJc w:val="left"/>
      <w:pPr>
        <w:ind w:left="7308" w:hanging="548"/>
      </w:pPr>
      <w:rPr>
        <w:rFonts w:hint="default"/>
        <w:lang w:val="en-US" w:eastAsia="en-US" w:bidi="ar-SA"/>
      </w:rPr>
    </w:lvl>
  </w:abstractNum>
  <w:num w:numId="1" w16cid:durableId="47363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37F7"/>
    <w:rsid w:val="001D7DC3"/>
    <w:rsid w:val="007937F7"/>
    <w:rsid w:val="00A6065F"/>
    <w:rsid w:val="00AB146F"/>
    <w:rsid w:val="00BE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B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ind w:left="547" w:right="357" w:hanging="54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547" w:hanging="548"/>
      <w:jc w:val="both"/>
    </w:pPr>
    <w:rPr>
      <w:sz w:val="24"/>
      <w:szCs w:val="24"/>
    </w:rPr>
  </w:style>
  <w:style w:type="paragraph" w:styleId="ListParagraph">
    <w:name w:val="List Paragraph"/>
    <w:basedOn w:val="Normal"/>
    <w:uiPriority w:val="1"/>
    <w:qFormat/>
    <w:pPr>
      <w:spacing w:before="51"/>
      <w:ind w:left="546"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7F28"/>
    <w:pPr>
      <w:tabs>
        <w:tab w:val="center" w:pos="4680"/>
        <w:tab w:val="right" w:pos="9360"/>
      </w:tabs>
    </w:pPr>
  </w:style>
  <w:style w:type="character" w:customStyle="1" w:styleId="HeaderChar">
    <w:name w:val="Header Char"/>
    <w:basedOn w:val="DefaultParagraphFont"/>
    <w:link w:val="Header"/>
    <w:uiPriority w:val="99"/>
    <w:rsid w:val="00BE7F28"/>
    <w:rPr>
      <w:rFonts w:ascii="Times New Roman" w:eastAsia="Times New Roman" w:hAnsi="Times New Roman" w:cs="Times New Roman"/>
    </w:rPr>
  </w:style>
  <w:style w:type="paragraph" w:styleId="Footer">
    <w:name w:val="footer"/>
    <w:basedOn w:val="Normal"/>
    <w:link w:val="FooterChar"/>
    <w:uiPriority w:val="99"/>
    <w:unhideWhenUsed/>
    <w:rsid w:val="00BE7F28"/>
    <w:pPr>
      <w:tabs>
        <w:tab w:val="center" w:pos="4680"/>
        <w:tab w:val="right" w:pos="9360"/>
      </w:tabs>
    </w:pPr>
  </w:style>
  <w:style w:type="character" w:customStyle="1" w:styleId="FooterChar">
    <w:name w:val="Footer Char"/>
    <w:basedOn w:val="DefaultParagraphFont"/>
    <w:link w:val="Footer"/>
    <w:uiPriority w:val="99"/>
    <w:rsid w:val="00BE7F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D162C-FA0E-49B8-8998-0ED356D19FD2}"/>
</file>

<file path=customXml/itemProps2.xml><?xml version="1.0" encoding="utf-8"?>
<ds:datastoreItem xmlns:ds="http://schemas.openxmlformats.org/officeDocument/2006/customXml" ds:itemID="{315463BB-CBA7-4A81-B774-EFB3A54397F6}"/>
</file>

<file path=customXml/itemProps3.xml><?xml version="1.0" encoding="utf-8"?>
<ds:datastoreItem xmlns:ds="http://schemas.openxmlformats.org/officeDocument/2006/customXml" ds:itemID="{53C496E1-4A1A-4BEC-9440-86892ED7D37B}"/>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1429</Characters>
  <Application>Microsoft Office Word</Application>
  <DocSecurity>0</DocSecurity>
  <Lines>49</Lines>
  <Paragraphs>42</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2026-04-07T21:24:00Z</dcterms:created>
  <dcterms:modified xsi:type="dcterms:W3CDTF">2026-04-07T21:24:00Z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