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E4D4D" w14:textId="77777777" w:rsidR="00B54022" w:rsidRDefault="002D209E">
      <w:pPr>
        <w:pStyle w:val="Heading1"/>
      </w:pPr>
      <w:proofErr w:type="gramStart"/>
      <w:r>
        <w:t>250.061</w:t>
      </w:r>
      <w:r>
        <w:rPr>
          <w:spacing w:val="28"/>
        </w:rPr>
        <w:t xml:space="preserve">  </w:t>
      </w:r>
      <w:r>
        <w:t>Recordkeeping</w:t>
      </w:r>
      <w:proofErr w:type="gramEnd"/>
      <w:r>
        <w:rPr>
          <w:spacing w:val="-1"/>
        </w:rPr>
        <w:t xml:space="preserve"> </w:t>
      </w:r>
      <w:r>
        <w:rPr>
          <w:spacing w:val="-2"/>
        </w:rPr>
        <w:t>requirements.</w:t>
      </w:r>
    </w:p>
    <w:p w14:paraId="345E4D4E" w14:textId="77777777" w:rsidR="00B54022" w:rsidRDefault="002D209E">
      <w:pPr>
        <w:pStyle w:val="ListParagraph"/>
        <w:numPr>
          <w:ilvl w:val="0"/>
          <w:numId w:val="1"/>
        </w:numPr>
        <w:tabs>
          <w:tab w:val="left" w:pos="545"/>
          <w:tab w:val="left" w:pos="547"/>
        </w:tabs>
        <w:spacing w:before="123" w:line="247" w:lineRule="auto"/>
        <w:ind w:right="358"/>
        <w:jc w:val="both"/>
        <w:rPr>
          <w:sz w:val="24"/>
        </w:rPr>
      </w:pPr>
      <w:r>
        <w:rPr>
          <w:sz w:val="24"/>
        </w:rPr>
        <w:t>Every</w:t>
      </w:r>
      <w:r>
        <w:rPr>
          <w:spacing w:val="-4"/>
          <w:sz w:val="24"/>
        </w:rPr>
        <w:t xml:space="preserve"> </w:t>
      </w:r>
      <w:r>
        <w:rPr>
          <w:sz w:val="24"/>
        </w:rPr>
        <w:t>permit holder shall keep complete records as defined in KRS 250.021 to 250. 111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period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two</w:t>
      </w:r>
      <w:r>
        <w:rPr>
          <w:spacing w:val="-4"/>
          <w:sz w:val="24"/>
        </w:rPr>
        <w:t xml:space="preserve"> </w:t>
      </w:r>
      <w:r>
        <w:rPr>
          <w:sz w:val="24"/>
        </w:rPr>
        <w:t>(2)</w:t>
      </w:r>
      <w:r>
        <w:rPr>
          <w:spacing w:val="-4"/>
          <w:sz w:val="24"/>
        </w:rPr>
        <w:t xml:space="preserve"> </w:t>
      </w:r>
      <w:r>
        <w:rPr>
          <w:sz w:val="24"/>
        </w:rPr>
        <w:t>years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shall</w:t>
      </w:r>
      <w:r>
        <w:rPr>
          <w:spacing w:val="-4"/>
          <w:sz w:val="24"/>
        </w:rPr>
        <w:t xml:space="preserve"> </w:t>
      </w:r>
      <w:r>
        <w:rPr>
          <w:sz w:val="24"/>
        </w:rPr>
        <w:t>keep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arrange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6"/>
          <w:sz w:val="24"/>
        </w:rPr>
        <w:t xml:space="preserve"> </w:t>
      </w:r>
      <w:r>
        <w:rPr>
          <w:sz w:val="24"/>
        </w:rPr>
        <w:t>kept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file</w:t>
      </w:r>
      <w:r>
        <w:rPr>
          <w:spacing w:val="-5"/>
          <w:sz w:val="24"/>
        </w:rPr>
        <w:t xml:space="preserve"> </w:t>
      </w:r>
      <w:r>
        <w:rPr>
          <w:sz w:val="24"/>
        </w:rPr>
        <w:t>sample of seed for a period of at least one (1) year after final disposition of the seed. All records and samples shall be accessible for inspection by the director during customary business hours.</w:t>
      </w:r>
    </w:p>
    <w:p w14:paraId="345E4D4F" w14:textId="77777777" w:rsidR="00B54022" w:rsidRDefault="002D209E">
      <w:pPr>
        <w:pStyle w:val="ListParagraph"/>
        <w:numPr>
          <w:ilvl w:val="0"/>
          <w:numId w:val="1"/>
        </w:numPr>
        <w:tabs>
          <w:tab w:val="left" w:pos="545"/>
          <w:tab w:val="left" w:pos="547"/>
        </w:tabs>
        <w:spacing w:line="247" w:lineRule="auto"/>
        <w:jc w:val="both"/>
        <w:rPr>
          <w:sz w:val="24"/>
        </w:rPr>
      </w:pPr>
      <w:r>
        <w:rPr>
          <w:sz w:val="24"/>
        </w:rPr>
        <w:t>Every person registered as a retail agricultural seed dealer, or noncertified custom seed conditioner shall keep and maintain records for a period of two (2) years at the registrant's address. All records shall be accessible for inspection by the director during customary business hours.</w:t>
      </w:r>
    </w:p>
    <w:p w14:paraId="345E4D50" w14:textId="77777777" w:rsidR="00B54022" w:rsidRDefault="002D209E">
      <w:pPr>
        <w:spacing w:before="59"/>
        <w:ind w:left="1440"/>
        <w:jc w:val="both"/>
        <w:rPr>
          <w:sz w:val="20"/>
        </w:rPr>
      </w:pPr>
      <w:r>
        <w:rPr>
          <w:b/>
          <w:sz w:val="20"/>
        </w:rPr>
        <w:t>Effective:</w:t>
      </w:r>
      <w:r>
        <w:rPr>
          <w:b/>
          <w:spacing w:val="15"/>
          <w:sz w:val="20"/>
        </w:rPr>
        <w:t xml:space="preserve"> </w:t>
      </w:r>
      <w:r>
        <w:rPr>
          <w:sz w:val="20"/>
        </w:rPr>
        <w:t>April</w:t>
      </w:r>
      <w:r>
        <w:rPr>
          <w:spacing w:val="-6"/>
          <w:sz w:val="20"/>
        </w:rPr>
        <w:t xml:space="preserve"> </w:t>
      </w:r>
      <w:r>
        <w:rPr>
          <w:sz w:val="20"/>
        </w:rPr>
        <w:t>8,</w:t>
      </w:r>
      <w:r>
        <w:rPr>
          <w:spacing w:val="-4"/>
          <w:sz w:val="20"/>
        </w:rPr>
        <w:t xml:space="preserve"> 1994</w:t>
      </w:r>
    </w:p>
    <w:p w14:paraId="345E4D51" w14:textId="77777777" w:rsidR="00B54022" w:rsidRDefault="002D209E">
      <w:pPr>
        <w:spacing w:before="70"/>
        <w:ind w:left="1440"/>
        <w:jc w:val="both"/>
        <w:rPr>
          <w:sz w:val="20"/>
        </w:rPr>
      </w:pPr>
      <w:r>
        <w:rPr>
          <w:b/>
          <w:sz w:val="20"/>
        </w:rPr>
        <w:t>History:</w:t>
      </w:r>
      <w:r>
        <w:rPr>
          <w:b/>
          <w:spacing w:val="34"/>
          <w:sz w:val="20"/>
        </w:rPr>
        <w:t xml:space="preserve">  </w:t>
      </w:r>
      <w:r>
        <w:rPr>
          <w:sz w:val="20"/>
        </w:rPr>
        <w:t>Created</w:t>
      </w:r>
      <w:r>
        <w:rPr>
          <w:spacing w:val="-3"/>
          <w:sz w:val="20"/>
        </w:rPr>
        <w:t xml:space="preserve"> </w:t>
      </w:r>
      <w:r>
        <w:rPr>
          <w:sz w:val="20"/>
        </w:rPr>
        <w:t>1994</w:t>
      </w:r>
      <w:r>
        <w:rPr>
          <w:spacing w:val="-3"/>
          <w:sz w:val="20"/>
        </w:rPr>
        <w:t xml:space="preserve"> </w:t>
      </w:r>
      <w:r>
        <w:rPr>
          <w:sz w:val="20"/>
        </w:rPr>
        <w:t>Ky.</w:t>
      </w:r>
      <w:r>
        <w:rPr>
          <w:spacing w:val="-4"/>
          <w:sz w:val="20"/>
        </w:rPr>
        <w:t xml:space="preserve"> </w:t>
      </w:r>
      <w:r>
        <w:rPr>
          <w:sz w:val="20"/>
        </w:rPr>
        <w:t>Acts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ch.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370,</w:t>
      </w:r>
      <w:r>
        <w:rPr>
          <w:spacing w:val="-4"/>
          <w:sz w:val="20"/>
        </w:rPr>
        <w:t xml:space="preserve"> </w:t>
      </w:r>
      <w:r>
        <w:rPr>
          <w:sz w:val="20"/>
        </w:rPr>
        <w:t>sec.</w:t>
      </w:r>
      <w:r>
        <w:rPr>
          <w:spacing w:val="-3"/>
          <w:sz w:val="20"/>
        </w:rPr>
        <w:t xml:space="preserve"> </w:t>
      </w:r>
      <w:r>
        <w:rPr>
          <w:sz w:val="20"/>
        </w:rPr>
        <w:t>5,</w:t>
      </w:r>
      <w:r>
        <w:rPr>
          <w:spacing w:val="-4"/>
          <w:sz w:val="20"/>
        </w:rPr>
        <w:t xml:space="preserve"> </w:t>
      </w:r>
      <w:r>
        <w:rPr>
          <w:sz w:val="20"/>
        </w:rPr>
        <w:t>effective</w:t>
      </w:r>
      <w:r>
        <w:rPr>
          <w:spacing w:val="-4"/>
          <w:sz w:val="20"/>
        </w:rPr>
        <w:t xml:space="preserve"> </w:t>
      </w:r>
      <w:r>
        <w:rPr>
          <w:sz w:val="20"/>
        </w:rPr>
        <w:t>April</w:t>
      </w:r>
      <w:r>
        <w:rPr>
          <w:spacing w:val="-5"/>
          <w:sz w:val="20"/>
        </w:rPr>
        <w:t xml:space="preserve"> </w:t>
      </w:r>
      <w:r>
        <w:rPr>
          <w:sz w:val="20"/>
        </w:rPr>
        <w:t>8,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1994.</w:t>
      </w:r>
    </w:p>
    <w:p w14:paraId="345E4D52" w14:textId="77777777" w:rsidR="00B54022" w:rsidRDefault="002D209E">
      <w:pPr>
        <w:spacing w:before="71" w:line="249" w:lineRule="auto"/>
        <w:ind w:left="1800" w:right="359" w:hanging="360"/>
        <w:jc w:val="both"/>
        <w:rPr>
          <w:sz w:val="20"/>
        </w:rPr>
      </w:pPr>
      <w:r>
        <w:rPr>
          <w:b/>
          <w:sz w:val="20"/>
        </w:rPr>
        <w:t xml:space="preserve">Legislative Research Commission Note </w:t>
      </w:r>
      <w:r>
        <w:rPr>
          <w:sz w:val="20"/>
        </w:rPr>
        <w:t>(4/8/94).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Although the section of 1994 Ky. Acts </w:t>
      </w:r>
      <w:proofErr w:type="spellStart"/>
      <w:r>
        <w:rPr>
          <w:sz w:val="20"/>
        </w:rPr>
        <w:t>ch.</w:t>
      </w:r>
      <w:proofErr w:type="spellEnd"/>
      <w:r>
        <w:rPr>
          <w:sz w:val="20"/>
        </w:rPr>
        <w:t xml:space="preserve"> 370 creating this statute directed its placement in KRS Chapter 350, it is clear from the subject matter of this statute and the structure of </w:t>
      </w:r>
      <w:proofErr w:type="spellStart"/>
      <w:r>
        <w:rPr>
          <w:sz w:val="20"/>
        </w:rPr>
        <w:t>ch.</w:t>
      </w:r>
      <w:proofErr w:type="spellEnd"/>
      <w:r>
        <w:rPr>
          <w:sz w:val="20"/>
        </w:rPr>
        <w:t xml:space="preserve"> 370 that placement in KRS Chapter 250 was intended, and this has been done in codification pursuant to KRS 7.136(1)(h).</w:t>
      </w:r>
    </w:p>
    <w:sectPr w:rsidR="00B54022">
      <w:type w:val="continuous"/>
      <w:pgSz w:w="12240" w:h="15840"/>
      <w:pgMar w:top="1380" w:right="1440" w:bottom="28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7A2E6" w14:textId="77777777" w:rsidR="002D209E" w:rsidRDefault="002D209E" w:rsidP="00156C3E">
      <w:r>
        <w:separator/>
      </w:r>
    </w:p>
  </w:endnote>
  <w:endnote w:type="continuationSeparator" w:id="0">
    <w:p w14:paraId="0B6C0EA8" w14:textId="77777777" w:rsidR="002D209E" w:rsidRDefault="002D209E" w:rsidP="00156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1DBA2" w14:textId="77777777" w:rsidR="002D209E" w:rsidRDefault="002D209E" w:rsidP="00156C3E">
      <w:r>
        <w:separator/>
      </w:r>
    </w:p>
  </w:footnote>
  <w:footnote w:type="continuationSeparator" w:id="0">
    <w:p w14:paraId="77FE0E09" w14:textId="77777777" w:rsidR="002D209E" w:rsidRDefault="002D209E" w:rsidP="00156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84058"/>
    <w:multiLevelType w:val="hybridMultilevel"/>
    <w:tmpl w:val="438A9AB2"/>
    <w:lvl w:ilvl="0" w:tplc="2C80967C">
      <w:start w:val="1"/>
      <w:numFmt w:val="decimal"/>
      <w:lvlText w:val="(%1)"/>
      <w:lvlJc w:val="left"/>
      <w:pPr>
        <w:ind w:left="547" w:hanging="5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D66EA2E">
      <w:numFmt w:val="bullet"/>
      <w:lvlText w:val="•"/>
      <w:lvlJc w:val="left"/>
      <w:pPr>
        <w:ind w:left="1386" w:hanging="548"/>
      </w:pPr>
      <w:rPr>
        <w:rFonts w:hint="default"/>
        <w:lang w:val="en-US" w:eastAsia="en-US" w:bidi="ar-SA"/>
      </w:rPr>
    </w:lvl>
    <w:lvl w:ilvl="2" w:tplc="9B5477F2">
      <w:numFmt w:val="bullet"/>
      <w:lvlText w:val="•"/>
      <w:lvlJc w:val="left"/>
      <w:pPr>
        <w:ind w:left="2232" w:hanging="548"/>
      </w:pPr>
      <w:rPr>
        <w:rFonts w:hint="default"/>
        <w:lang w:val="en-US" w:eastAsia="en-US" w:bidi="ar-SA"/>
      </w:rPr>
    </w:lvl>
    <w:lvl w:ilvl="3" w:tplc="F98AB9CA">
      <w:numFmt w:val="bullet"/>
      <w:lvlText w:val="•"/>
      <w:lvlJc w:val="left"/>
      <w:pPr>
        <w:ind w:left="3078" w:hanging="548"/>
      </w:pPr>
      <w:rPr>
        <w:rFonts w:hint="default"/>
        <w:lang w:val="en-US" w:eastAsia="en-US" w:bidi="ar-SA"/>
      </w:rPr>
    </w:lvl>
    <w:lvl w:ilvl="4" w:tplc="18E2EDD6">
      <w:numFmt w:val="bullet"/>
      <w:lvlText w:val="•"/>
      <w:lvlJc w:val="left"/>
      <w:pPr>
        <w:ind w:left="3924" w:hanging="548"/>
      </w:pPr>
      <w:rPr>
        <w:rFonts w:hint="default"/>
        <w:lang w:val="en-US" w:eastAsia="en-US" w:bidi="ar-SA"/>
      </w:rPr>
    </w:lvl>
    <w:lvl w:ilvl="5" w:tplc="DDF223F6">
      <w:numFmt w:val="bullet"/>
      <w:lvlText w:val="•"/>
      <w:lvlJc w:val="left"/>
      <w:pPr>
        <w:ind w:left="4770" w:hanging="548"/>
      </w:pPr>
      <w:rPr>
        <w:rFonts w:hint="default"/>
        <w:lang w:val="en-US" w:eastAsia="en-US" w:bidi="ar-SA"/>
      </w:rPr>
    </w:lvl>
    <w:lvl w:ilvl="6" w:tplc="1C80AEAA">
      <w:numFmt w:val="bullet"/>
      <w:lvlText w:val="•"/>
      <w:lvlJc w:val="left"/>
      <w:pPr>
        <w:ind w:left="5616" w:hanging="548"/>
      </w:pPr>
      <w:rPr>
        <w:rFonts w:hint="default"/>
        <w:lang w:val="en-US" w:eastAsia="en-US" w:bidi="ar-SA"/>
      </w:rPr>
    </w:lvl>
    <w:lvl w:ilvl="7" w:tplc="317A90FC">
      <w:numFmt w:val="bullet"/>
      <w:lvlText w:val="•"/>
      <w:lvlJc w:val="left"/>
      <w:pPr>
        <w:ind w:left="6462" w:hanging="548"/>
      </w:pPr>
      <w:rPr>
        <w:rFonts w:hint="default"/>
        <w:lang w:val="en-US" w:eastAsia="en-US" w:bidi="ar-SA"/>
      </w:rPr>
    </w:lvl>
    <w:lvl w:ilvl="8" w:tplc="8DDE0F1C">
      <w:numFmt w:val="bullet"/>
      <w:lvlText w:val="•"/>
      <w:lvlJc w:val="left"/>
      <w:pPr>
        <w:ind w:left="7308" w:hanging="548"/>
      </w:pPr>
      <w:rPr>
        <w:rFonts w:hint="default"/>
        <w:lang w:val="en-US" w:eastAsia="en-US" w:bidi="ar-SA"/>
      </w:rPr>
    </w:lvl>
  </w:abstractNum>
  <w:num w:numId="1" w16cid:durableId="1120802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4022"/>
    <w:rsid w:val="00156C3E"/>
    <w:rsid w:val="002D209E"/>
    <w:rsid w:val="00482BE6"/>
    <w:rsid w:val="00B5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5E4D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6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5"/>
      <w:ind w:left="547" w:right="357" w:hanging="548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55"/>
      <w:ind w:left="547" w:right="357" w:hanging="54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56C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C3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56C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C3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DEB609-2450-4ACB-BA45-11636B24FD0F}"/>
</file>

<file path=customXml/itemProps2.xml><?xml version="1.0" encoding="utf-8"?>
<ds:datastoreItem xmlns:ds="http://schemas.openxmlformats.org/officeDocument/2006/customXml" ds:itemID="{F536ABCA-9CC4-4091-9EEA-6A06DE41BF15}"/>
</file>

<file path=customXml/itemProps3.xml><?xml version="1.0" encoding="utf-8"?>
<ds:datastoreItem xmlns:ds="http://schemas.openxmlformats.org/officeDocument/2006/customXml" ds:itemID="{76A3A022-381C-48F2-9B08-30BA470859D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2026-04-07T21:20:00Z</dcterms:created>
  <dcterms:modified xsi:type="dcterms:W3CDTF">2026-04-07T21:20:00Z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