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ADBF" w14:textId="77777777" w:rsidR="00D5773F" w:rsidRDefault="003900C4">
      <w:pPr>
        <w:pStyle w:val="Heading1"/>
      </w:pPr>
      <w:proofErr w:type="gramStart"/>
      <w:r>
        <w:t>250.051</w:t>
      </w:r>
      <w:r>
        <w:rPr>
          <w:spacing w:val="25"/>
        </w:rPr>
        <w:t xml:space="preserve">  </w:t>
      </w:r>
      <w:r>
        <w:t>Permits</w:t>
      </w:r>
      <w:proofErr w:type="gramEnd"/>
      <w:r>
        <w:rPr>
          <w:spacing w:val="-1"/>
        </w:rPr>
        <w:t xml:space="preserve"> </w:t>
      </w:r>
      <w:r>
        <w:t>for</w:t>
      </w:r>
      <w:r>
        <w:rPr>
          <w:spacing w:val="-3"/>
        </w:rPr>
        <w:t xml:space="preserve"> </w:t>
      </w:r>
      <w:r>
        <w:t>labeling</w:t>
      </w:r>
      <w:r>
        <w:rPr>
          <w:spacing w:val="-1"/>
        </w:rPr>
        <w:t xml:space="preserve"> </w:t>
      </w:r>
      <w:r>
        <w:t>--</w:t>
      </w:r>
      <w:r>
        <w:rPr>
          <w:spacing w:val="-2"/>
        </w:rPr>
        <w:t xml:space="preserve"> </w:t>
      </w:r>
      <w:r>
        <w:t>Fees</w:t>
      </w:r>
      <w:r>
        <w:rPr>
          <w:spacing w:val="-2"/>
        </w:rPr>
        <w:t xml:space="preserve"> </w:t>
      </w:r>
      <w:r>
        <w:t>--</w:t>
      </w:r>
      <w:r>
        <w:rPr>
          <w:spacing w:val="-2"/>
        </w:rPr>
        <w:t xml:space="preserve"> Registration.</w:t>
      </w:r>
    </w:p>
    <w:p w14:paraId="2B0BADC0" w14:textId="77777777" w:rsidR="00D5773F" w:rsidRDefault="003900C4">
      <w:pPr>
        <w:pStyle w:val="ListParagraph"/>
        <w:numPr>
          <w:ilvl w:val="0"/>
          <w:numId w:val="1"/>
        </w:numPr>
        <w:tabs>
          <w:tab w:val="left" w:pos="546"/>
        </w:tabs>
        <w:spacing w:before="123"/>
        <w:ind w:left="546" w:right="0" w:hanging="546"/>
        <w:jc w:val="both"/>
        <w:rPr>
          <w:sz w:val="24"/>
        </w:rPr>
      </w:pPr>
      <w:r>
        <w:rPr>
          <w:sz w:val="24"/>
        </w:rPr>
        <w:t>The</w:t>
      </w:r>
      <w:r>
        <w:rPr>
          <w:spacing w:val="-4"/>
          <w:sz w:val="24"/>
        </w:rPr>
        <w:t xml:space="preserve"> </w:t>
      </w:r>
      <w:r>
        <w:rPr>
          <w:sz w:val="24"/>
        </w:rPr>
        <w:t>following</w:t>
      </w:r>
      <w:r>
        <w:rPr>
          <w:spacing w:val="-4"/>
          <w:sz w:val="24"/>
        </w:rPr>
        <w:t xml:space="preserve"> </w:t>
      </w:r>
      <w:r>
        <w:rPr>
          <w:sz w:val="24"/>
        </w:rPr>
        <w:t>shall</w:t>
      </w:r>
      <w:r>
        <w:rPr>
          <w:spacing w:val="-1"/>
          <w:sz w:val="24"/>
        </w:rPr>
        <w:t xml:space="preserve"> </w:t>
      </w:r>
      <w:r>
        <w:rPr>
          <w:sz w:val="24"/>
        </w:rPr>
        <w:t>apply</w:t>
      </w:r>
      <w:r>
        <w:rPr>
          <w:spacing w:val="-8"/>
          <w:sz w:val="24"/>
        </w:rPr>
        <w:t xml:space="preserve"> </w:t>
      </w:r>
      <w:r>
        <w:rPr>
          <w:sz w:val="24"/>
        </w:rPr>
        <w:t>with</w:t>
      </w:r>
      <w:r>
        <w:rPr>
          <w:spacing w:val="-1"/>
          <w:sz w:val="24"/>
        </w:rPr>
        <w:t xml:space="preserve"> </w:t>
      </w:r>
      <w:r>
        <w:rPr>
          <w:sz w:val="24"/>
        </w:rPr>
        <w:t>regard</w:t>
      </w:r>
      <w:r>
        <w:rPr>
          <w:spacing w:val="-1"/>
          <w:sz w:val="24"/>
        </w:rPr>
        <w:t xml:space="preserve"> </w:t>
      </w:r>
      <w:r>
        <w:rPr>
          <w:sz w:val="24"/>
        </w:rPr>
        <w:t>to</w:t>
      </w:r>
      <w:r>
        <w:rPr>
          <w:spacing w:val="-1"/>
          <w:sz w:val="24"/>
        </w:rPr>
        <w:t xml:space="preserve"> </w:t>
      </w:r>
      <w:r>
        <w:rPr>
          <w:sz w:val="24"/>
        </w:rPr>
        <w:t>permits</w:t>
      </w:r>
      <w:r>
        <w:rPr>
          <w:spacing w:val="-1"/>
          <w:sz w:val="24"/>
        </w:rPr>
        <w:t xml:space="preserve"> </w:t>
      </w:r>
      <w:r>
        <w:rPr>
          <w:sz w:val="24"/>
        </w:rPr>
        <w:t>for</w:t>
      </w:r>
      <w:r>
        <w:rPr>
          <w:spacing w:val="-3"/>
          <w:sz w:val="24"/>
        </w:rPr>
        <w:t xml:space="preserve"> </w:t>
      </w:r>
      <w:r>
        <w:rPr>
          <w:spacing w:val="-2"/>
          <w:sz w:val="24"/>
        </w:rPr>
        <w:t>labeling:</w:t>
      </w:r>
    </w:p>
    <w:p w14:paraId="2B0BADC1" w14:textId="77777777" w:rsidR="00D5773F" w:rsidRDefault="003900C4">
      <w:pPr>
        <w:pStyle w:val="ListParagraph"/>
        <w:numPr>
          <w:ilvl w:val="1"/>
          <w:numId w:val="1"/>
        </w:numPr>
        <w:tabs>
          <w:tab w:val="left" w:pos="1092"/>
          <w:tab w:val="left" w:pos="1094"/>
        </w:tabs>
        <w:spacing w:before="67" w:line="247" w:lineRule="auto"/>
        <w:ind w:right="357"/>
        <w:jc w:val="both"/>
        <w:rPr>
          <w:sz w:val="24"/>
        </w:rPr>
      </w:pPr>
      <w:r>
        <w:rPr>
          <w:sz w:val="24"/>
        </w:rPr>
        <w:t>Each person who labels agricultural seed in accordance with KRS 250.041 shall obtain a labeling permit from the director and pay a semiannual inspection fee unless labels attached to the seed containers were issued by</w:t>
      </w:r>
      <w:r>
        <w:rPr>
          <w:spacing w:val="-1"/>
          <w:sz w:val="24"/>
        </w:rPr>
        <w:t xml:space="preserve"> </w:t>
      </w:r>
      <w:r>
        <w:rPr>
          <w:sz w:val="24"/>
        </w:rPr>
        <w:t xml:space="preserve">the Kentucky Seed Improvement Association, or purchased from the </w:t>
      </w:r>
      <w:proofErr w:type="gramStart"/>
      <w:r>
        <w:rPr>
          <w:sz w:val="24"/>
        </w:rPr>
        <w:t>director;</w:t>
      </w:r>
      <w:proofErr w:type="gramEnd"/>
    </w:p>
    <w:p w14:paraId="2B0BADC2" w14:textId="77777777" w:rsidR="00D5773F" w:rsidRDefault="003900C4">
      <w:pPr>
        <w:pStyle w:val="ListParagraph"/>
        <w:numPr>
          <w:ilvl w:val="1"/>
          <w:numId w:val="1"/>
        </w:numPr>
        <w:tabs>
          <w:tab w:val="left" w:pos="1092"/>
          <w:tab w:val="left" w:pos="1094"/>
        </w:tabs>
        <w:spacing w:line="247" w:lineRule="auto"/>
        <w:ind w:right="361"/>
        <w:jc w:val="both"/>
        <w:rPr>
          <w:sz w:val="24"/>
        </w:rPr>
      </w:pPr>
      <w:r>
        <w:rPr>
          <w:sz w:val="24"/>
        </w:rPr>
        <w:t xml:space="preserve">Each person who labels vegetable seed, flower seed, or combination mulch, seed, and fertilizer product shall obtain a labeling permit from the </w:t>
      </w:r>
      <w:proofErr w:type="gramStart"/>
      <w:r>
        <w:rPr>
          <w:sz w:val="24"/>
        </w:rPr>
        <w:t>director;</w:t>
      </w:r>
      <w:proofErr w:type="gramEnd"/>
    </w:p>
    <w:p w14:paraId="2B0BADC3" w14:textId="77777777" w:rsidR="00D5773F" w:rsidRDefault="003900C4">
      <w:pPr>
        <w:pStyle w:val="ListParagraph"/>
        <w:numPr>
          <w:ilvl w:val="1"/>
          <w:numId w:val="1"/>
        </w:numPr>
        <w:tabs>
          <w:tab w:val="left" w:pos="1092"/>
          <w:tab w:val="left" w:pos="1094"/>
        </w:tabs>
        <w:spacing w:before="58" w:line="247" w:lineRule="auto"/>
        <w:ind w:right="354"/>
        <w:jc w:val="both"/>
        <w:rPr>
          <w:sz w:val="24"/>
        </w:rPr>
      </w:pPr>
      <w:r>
        <w:rPr>
          <w:sz w:val="24"/>
        </w:rPr>
        <w:t>Permit holders shall be assessed a yearly fee of twenty-five dollars ($25)</w:t>
      </w:r>
      <w:r>
        <w:rPr>
          <w:spacing w:val="40"/>
          <w:sz w:val="24"/>
        </w:rPr>
        <w:t xml:space="preserve"> </w:t>
      </w:r>
      <w:r>
        <w:rPr>
          <w:sz w:val="24"/>
        </w:rPr>
        <w:t>based on a calendar year or fraction thereof. The procedure for obtaining a permit, the responsibilities of the permit holders, method to be used in determining inspection fees, and the procedure for payment of inspection fees by permit holders distributing agricultural seed shall be established by administrative regulations promulgated by the director. Permits may be revoked</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director</w:t>
      </w:r>
      <w:r>
        <w:rPr>
          <w:spacing w:val="-3"/>
          <w:sz w:val="24"/>
        </w:rPr>
        <w:t xml:space="preserve"> </w:t>
      </w:r>
      <w:r>
        <w:rPr>
          <w:sz w:val="24"/>
        </w:rPr>
        <w:t>determines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permit</w:t>
      </w:r>
      <w:r>
        <w:rPr>
          <w:spacing w:val="-4"/>
          <w:sz w:val="24"/>
        </w:rPr>
        <w:t xml:space="preserve"> </w:t>
      </w:r>
      <w:r>
        <w:rPr>
          <w:sz w:val="24"/>
        </w:rPr>
        <w:t>holder</w:t>
      </w:r>
      <w:r>
        <w:rPr>
          <w:spacing w:val="-2"/>
          <w:sz w:val="24"/>
        </w:rPr>
        <w:t xml:space="preserve"> </w:t>
      </w:r>
      <w:r>
        <w:rPr>
          <w:sz w:val="24"/>
        </w:rPr>
        <w:t>is</w:t>
      </w:r>
      <w:r>
        <w:rPr>
          <w:spacing w:val="-4"/>
          <w:sz w:val="24"/>
        </w:rPr>
        <w:t xml:space="preserve"> </w:t>
      </w:r>
      <w:r>
        <w:rPr>
          <w:sz w:val="24"/>
        </w:rPr>
        <w:t>not</w:t>
      </w:r>
      <w:r>
        <w:rPr>
          <w:spacing w:val="-4"/>
          <w:sz w:val="24"/>
        </w:rPr>
        <w:t xml:space="preserve"> </w:t>
      </w:r>
      <w:r>
        <w:rPr>
          <w:sz w:val="24"/>
        </w:rPr>
        <w:t>complying</w:t>
      </w:r>
      <w:r>
        <w:rPr>
          <w:spacing w:val="-6"/>
          <w:sz w:val="24"/>
        </w:rPr>
        <w:t xml:space="preserve"> </w:t>
      </w:r>
      <w:r>
        <w:rPr>
          <w:sz w:val="24"/>
        </w:rPr>
        <w:t>with the provisions of KRS 250.021 to 250.111; and</w:t>
      </w:r>
    </w:p>
    <w:p w14:paraId="2B0BADC4" w14:textId="77777777" w:rsidR="00D5773F" w:rsidRDefault="003900C4">
      <w:pPr>
        <w:pStyle w:val="ListParagraph"/>
        <w:numPr>
          <w:ilvl w:val="1"/>
          <w:numId w:val="1"/>
        </w:numPr>
        <w:tabs>
          <w:tab w:val="left" w:pos="1092"/>
          <w:tab w:val="left" w:pos="1094"/>
        </w:tabs>
        <w:spacing w:before="52" w:line="247" w:lineRule="auto"/>
        <w:jc w:val="both"/>
        <w:rPr>
          <w:sz w:val="24"/>
        </w:rPr>
      </w:pPr>
      <w:r>
        <w:rPr>
          <w:sz w:val="24"/>
        </w:rPr>
        <w:t xml:space="preserve">Labels for agricultural </w:t>
      </w:r>
      <w:proofErr w:type="gramStart"/>
      <w:r>
        <w:rPr>
          <w:sz w:val="24"/>
        </w:rPr>
        <w:t>seed</w:t>
      </w:r>
      <w:proofErr w:type="gramEnd"/>
      <w:r>
        <w:rPr>
          <w:sz w:val="24"/>
        </w:rPr>
        <w:t xml:space="preserve"> may be purchased from the director at a price established by administrative </w:t>
      </w:r>
      <w:proofErr w:type="gramStart"/>
      <w:r>
        <w:rPr>
          <w:sz w:val="24"/>
        </w:rPr>
        <w:t>regulation</w:t>
      </w:r>
      <w:proofErr w:type="gramEnd"/>
      <w:r>
        <w:rPr>
          <w:sz w:val="24"/>
        </w:rPr>
        <w:t xml:space="preserve"> promulgated by the director.</w:t>
      </w:r>
    </w:p>
    <w:p w14:paraId="2B0BADC5" w14:textId="77777777" w:rsidR="00D5773F" w:rsidRDefault="003900C4">
      <w:pPr>
        <w:pStyle w:val="ListParagraph"/>
        <w:numPr>
          <w:ilvl w:val="0"/>
          <w:numId w:val="1"/>
        </w:numPr>
        <w:tabs>
          <w:tab w:val="left" w:pos="545"/>
          <w:tab w:val="left" w:pos="547"/>
        </w:tabs>
        <w:spacing w:before="58" w:line="247" w:lineRule="auto"/>
        <w:ind w:right="358"/>
        <w:jc w:val="both"/>
        <w:rPr>
          <w:sz w:val="24"/>
        </w:rPr>
      </w:pPr>
      <w:r>
        <w:rPr>
          <w:sz w:val="24"/>
        </w:rPr>
        <w:t xml:space="preserve">Each person who distributes agricultural </w:t>
      </w:r>
      <w:proofErr w:type="gramStart"/>
      <w:r>
        <w:rPr>
          <w:sz w:val="24"/>
        </w:rPr>
        <w:t>seed</w:t>
      </w:r>
      <w:proofErr w:type="gramEnd"/>
      <w:r>
        <w:rPr>
          <w:sz w:val="24"/>
        </w:rPr>
        <w:t xml:space="preserve"> in containers of forty (40) pounds or more at retail in Kentucky and each person, other than a certified seed conditioner, who conditions agricultural seed for distribution in Kentucky</w:t>
      </w:r>
      <w:r>
        <w:rPr>
          <w:spacing w:val="-3"/>
          <w:sz w:val="24"/>
        </w:rPr>
        <w:t xml:space="preserve"> </w:t>
      </w:r>
      <w:r>
        <w:rPr>
          <w:sz w:val="24"/>
        </w:rPr>
        <w:t xml:space="preserve">shall register with the </w:t>
      </w:r>
      <w:r>
        <w:rPr>
          <w:spacing w:val="-2"/>
          <w:sz w:val="24"/>
        </w:rPr>
        <w:t>director.</w:t>
      </w:r>
    </w:p>
    <w:p w14:paraId="2B0BADC6" w14:textId="77777777" w:rsidR="00D5773F" w:rsidRDefault="003900C4">
      <w:pPr>
        <w:pStyle w:val="ListParagraph"/>
        <w:numPr>
          <w:ilvl w:val="0"/>
          <w:numId w:val="1"/>
        </w:numPr>
        <w:tabs>
          <w:tab w:val="left" w:pos="545"/>
          <w:tab w:val="left" w:pos="547"/>
        </w:tabs>
        <w:spacing w:line="247" w:lineRule="auto"/>
        <w:jc w:val="both"/>
        <w:rPr>
          <w:sz w:val="24"/>
        </w:rPr>
      </w:pPr>
      <w:r>
        <w:rPr>
          <w:sz w:val="24"/>
        </w:rPr>
        <w:t>Certified seed growers and certified seed conditioners shall be registered with the director by the Kentucky Seed Improvement Association at no additional fee as a part of the certification process.</w:t>
      </w:r>
    </w:p>
    <w:p w14:paraId="2B0BADC7" w14:textId="77777777" w:rsidR="00D5773F" w:rsidRDefault="003900C4">
      <w:pPr>
        <w:pStyle w:val="ListParagraph"/>
        <w:numPr>
          <w:ilvl w:val="0"/>
          <w:numId w:val="1"/>
        </w:numPr>
        <w:tabs>
          <w:tab w:val="left" w:pos="545"/>
          <w:tab w:val="left" w:pos="547"/>
        </w:tabs>
        <w:spacing w:before="57" w:line="247" w:lineRule="auto"/>
        <w:ind w:right="356"/>
        <w:jc w:val="both"/>
        <w:rPr>
          <w:sz w:val="24"/>
        </w:rPr>
      </w:pPr>
      <w:r>
        <w:rPr>
          <w:sz w:val="24"/>
        </w:rPr>
        <w:t>The yearly registration fee for retail agricultural seed dealers and for noncertified custom seed conditioners shall be twenty-five dollars ($25). If a person is required to both register and obtain a permit, the permit fee shall apply, and if a person is required to register both as a retail agricultural seed dealer and noncertified custom seed conditioner, only one (1) registration fee shall be paid.</w:t>
      </w:r>
    </w:p>
    <w:p w14:paraId="2B0BADC8" w14:textId="77777777" w:rsidR="00D5773F" w:rsidRDefault="003900C4">
      <w:pPr>
        <w:spacing w:before="58"/>
        <w:ind w:left="1440"/>
        <w:jc w:val="both"/>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2016</w:t>
      </w:r>
    </w:p>
    <w:p w14:paraId="2B0BADC9" w14:textId="77777777" w:rsidR="00D5773F" w:rsidRDefault="003900C4">
      <w:pPr>
        <w:spacing w:before="70"/>
        <w:ind w:left="1440"/>
        <w:jc w:val="both"/>
        <w:rPr>
          <w:sz w:val="20"/>
        </w:rPr>
      </w:pPr>
      <w:r>
        <w:rPr>
          <w:b/>
          <w:sz w:val="20"/>
        </w:rPr>
        <w:t>History:</w:t>
      </w:r>
      <w:r>
        <w:rPr>
          <w:b/>
          <w:spacing w:val="36"/>
          <w:sz w:val="20"/>
        </w:rPr>
        <w:t xml:space="preserve">  </w:t>
      </w:r>
      <w:r>
        <w:rPr>
          <w:sz w:val="20"/>
        </w:rPr>
        <w:t>Amended</w:t>
      </w:r>
      <w:r>
        <w:rPr>
          <w:spacing w:val="27"/>
          <w:sz w:val="20"/>
        </w:rPr>
        <w:t xml:space="preserve"> </w:t>
      </w:r>
      <w:r>
        <w:rPr>
          <w:sz w:val="20"/>
        </w:rPr>
        <w:t>2016</w:t>
      </w:r>
      <w:r>
        <w:rPr>
          <w:spacing w:val="28"/>
          <w:sz w:val="20"/>
        </w:rPr>
        <w:t xml:space="preserve"> </w:t>
      </w:r>
      <w:r>
        <w:rPr>
          <w:sz w:val="20"/>
        </w:rPr>
        <w:t>Ky.</w:t>
      </w:r>
      <w:r>
        <w:rPr>
          <w:spacing w:val="27"/>
          <w:sz w:val="20"/>
        </w:rPr>
        <w:t xml:space="preserve"> </w:t>
      </w:r>
      <w:r>
        <w:rPr>
          <w:sz w:val="20"/>
        </w:rPr>
        <w:t>Acts</w:t>
      </w:r>
      <w:r>
        <w:rPr>
          <w:spacing w:val="26"/>
          <w:sz w:val="20"/>
        </w:rPr>
        <w:t xml:space="preserve"> </w:t>
      </w:r>
      <w:proofErr w:type="spellStart"/>
      <w:r>
        <w:rPr>
          <w:sz w:val="20"/>
        </w:rPr>
        <w:t>ch.</w:t>
      </w:r>
      <w:proofErr w:type="spellEnd"/>
      <w:r>
        <w:rPr>
          <w:spacing w:val="26"/>
          <w:sz w:val="20"/>
        </w:rPr>
        <w:t xml:space="preserve"> </w:t>
      </w:r>
      <w:r>
        <w:rPr>
          <w:sz w:val="20"/>
        </w:rPr>
        <w:t>38,</w:t>
      </w:r>
      <w:r>
        <w:rPr>
          <w:spacing w:val="27"/>
          <w:sz w:val="20"/>
        </w:rPr>
        <w:t xml:space="preserve"> </w:t>
      </w:r>
      <w:r>
        <w:rPr>
          <w:sz w:val="20"/>
        </w:rPr>
        <w:t>sec.</w:t>
      </w:r>
      <w:r>
        <w:rPr>
          <w:spacing w:val="27"/>
          <w:sz w:val="20"/>
        </w:rPr>
        <w:t xml:space="preserve"> </w:t>
      </w:r>
      <w:r>
        <w:rPr>
          <w:sz w:val="20"/>
        </w:rPr>
        <w:t>4,</w:t>
      </w:r>
      <w:r>
        <w:rPr>
          <w:spacing w:val="26"/>
          <w:sz w:val="20"/>
        </w:rPr>
        <w:t xml:space="preserve"> </w:t>
      </w:r>
      <w:r>
        <w:rPr>
          <w:sz w:val="20"/>
        </w:rPr>
        <w:t>effective</w:t>
      </w:r>
      <w:r>
        <w:rPr>
          <w:spacing w:val="27"/>
          <w:sz w:val="20"/>
        </w:rPr>
        <w:t xml:space="preserve"> </w:t>
      </w:r>
      <w:r>
        <w:rPr>
          <w:sz w:val="20"/>
        </w:rPr>
        <w:t>July</w:t>
      </w:r>
      <w:r>
        <w:rPr>
          <w:spacing w:val="23"/>
          <w:sz w:val="20"/>
        </w:rPr>
        <w:t xml:space="preserve"> </w:t>
      </w:r>
      <w:r>
        <w:rPr>
          <w:sz w:val="20"/>
        </w:rPr>
        <w:t>15,</w:t>
      </w:r>
      <w:r>
        <w:rPr>
          <w:spacing w:val="27"/>
          <w:sz w:val="20"/>
        </w:rPr>
        <w:t xml:space="preserve"> </w:t>
      </w:r>
      <w:r>
        <w:rPr>
          <w:sz w:val="20"/>
        </w:rPr>
        <w:t>2016.</w:t>
      </w:r>
      <w:r>
        <w:rPr>
          <w:spacing w:val="32"/>
          <w:sz w:val="20"/>
        </w:rPr>
        <w:t xml:space="preserve"> </w:t>
      </w:r>
      <w:r>
        <w:rPr>
          <w:sz w:val="20"/>
        </w:rPr>
        <w:t>--</w:t>
      </w:r>
      <w:r>
        <w:rPr>
          <w:spacing w:val="23"/>
          <w:sz w:val="20"/>
        </w:rPr>
        <w:t xml:space="preserve"> </w:t>
      </w:r>
      <w:r>
        <w:rPr>
          <w:spacing w:val="-2"/>
          <w:sz w:val="20"/>
        </w:rPr>
        <w:t>Created</w:t>
      </w:r>
    </w:p>
    <w:p w14:paraId="2B0BADCA" w14:textId="77777777" w:rsidR="00D5773F" w:rsidRDefault="003900C4">
      <w:pPr>
        <w:spacing w:before="10"/>
        <w:ind w:left="1800"/>
        <w:jc w:val="both"/>
        <w:rPr>
          <w:sz w:val="20"/>
        </w:rPr>
      </w:pPr>
      <w:r>
        <w:rPr>
          <w:sz w:val="20"/>
        </w:rPr>
        <w:t>1994</w:t>
      </w:r>
      <w:r>
        <w:rPr>
          <w:spacing w:val="-4"/>
          <w:sz w:val="20"/>
        </w:rPr>
        <w:t xml:space="preserve"> </w:t>
      </w:r>
      <w:r>
        <w:rPr>
          <w:sz w:val="20"/>
        </w:rPr>
        <w:t>Ky.</w:t>
      </w:r>
      <w:r>
        <w:rPr>
          <w:spacing w:val="-4"/>
          <w:sz w:val="20"/>
        </w:rPr>
        <w:t xml:space="preserve"> </w:t>
      </w:r>
      <w:r>
        <w:rPr>
          <w:sz w:val="20"/>
        </w:rPr>
        <w:t>Acts</w:t>
      </w:r>
      <w:r>
        <w:rPr>
          <w:spacing w:val="-5"/>
          <w:sz w:val="20"/>
        </w:rPr>
        <w:t xml:space="preserve"> </w:t>
      </w:r>
      <w:proofErr w:type="spellStart"/>
      <w:r>
        <w:rPr>
          <w:sz w:val="20"/>
        </w:rPr>
        <w:t>ch.</w:t>
      </w:r>
      <w:proofErr w:type="spellEnd"/>
      <w:r>
        <w:rPr>
          <w:spacing w:val="-5"/>
          <w:sz w:val="20"/>
        </w:rPr>
        <w:t xml:space="preserve"> </w:t>
      </w:r>
      <w:r>
        <w:rPr>
          <w:sz w:val="20"/>
        </w:rPr>
        <w:t>370,</w:t>
      </w:r>
      <w:r>
        <w:rPr>
          <w:spacing w:val="-4"/>
          <w:sz w:val="20"/>
        </w:rPr>
        <w:t xml:space="preserve"> </w:t>
      </w:r>
      <w:r>
        <w:rPr>
          <w:sz w:val="20"/>
        </w:rPr>
        <w:t>sec.</w:t>
      </w:r>
      <w:r>
        <w:rPr>
          <w:spacing w:val="-4"/>
          <w:sz w:val="20"/>
        </w:rPr>
        <w:t xml:space="preserve"> </w:t>
      </w:r>
      <w:r>
        <w:rPr>
          <w:sz w:val="20"/>
        </w:rPr>
        <w:t>4,</w:t>
      </w:r>
      <w:r>
        <w:rPr>
          <w:spacing w:val="-4"/>
          <w:sz w:val="20"/>
        </w:rPr>
        <w:t xml:space="preserve"> </w:t>
      </w:r>
      <w:r>
        <w:rPr>
          <w:sz w:val="20"/>
        </w:rPr>
        <w:t>effective</w:t>
      </w:r>
      <w:r>
        <w:rPr>
          <w:spacing w:val="-5"/>
          <w:sz w:val="20"/>
        </w:rPr>
        <w:t xml:space="preserve"> </w:t>
      </w:r>
      <w:r>
        <w:rPr>
          <w:sz w:val="20"/>
        </w:rPr>
        <w:t>April</w:t>
      </w:r>
      <w:r>
        <w:rPr>
          <w:spacing w:val="-5"/>
          <w:sz w:val="20"/>
        </w:rPr>
        <w:t xml:space="preserve"> </w:t>
      </w:r>
      <w:r>
        <w:rPr>
          <w:sz w:val="20"/>
        </w:rPr>
        <w:t>8,</w:t>
      </w:r>
      <w:r>
        <w:rPr>
          <w:spacing w:val="-4"/>
          <w:sz w:val="20"/>
        </w:rPr>
        <w:t xml:space="preserve"> </w:t>
      </w:r>
      <w:r>
        <w:rPr>
          <w:spacing w:val="-2"/>
          <w:sz w:val="20"/>
        </w:rPr>
        <w:t>1994.</w:t>
      </w:r>
    </w:p>
    <w:p w14:paraId="2B0BADCB" w14:textId="77777777" w:rsidR="00D5773F" w:rsidRDefault="003900C4">
      <w:pPr>
        <w:spacing w:before="71" w:line="249" w:lineRule="auto"/>
        <w:ind w:left="1800" w:right="359" w:hanging="360"/>
        <w:jc w:val="both"/>
        <w:rPr>
          <w:sz w:val="20"/>
        </w:rPr>
      </w:pPr>
      <w:r>
        <w:rPr>
          <w:b/>
          <w:sz w:val="20"/>
        </w:rPr>
        <w:t xml:space="preserve">Legislative Research Commission Note </w:t>
      </w:r>
      <w:r>
        <w:rPr>
          <w:sz w:val="20"/>
        </w:rPr>
        <w:t>(4/8/94).</w:t>
      </w:r>
      <w:r>
        <w:rPr>
          <w:spacing w:val="40"/>
          <w:sz w:val="20"/>
        </w:rPr>
        <w:t xml:space="preserve"> </w:t>
      </w:r>
      <w:r>
        <w:rPr>
          <w:sz w:val="20"/>
        </w:rPr>
        <w:t xml:space="preserve">Although the section of 1994 Ky. Acts </w:t>
      </w:r>
      <w:proofErr w:type="spellStart"/>
      <w:r>
        <w:rPr>
          <w:sz w:val="20"/>
        </w:rPr>
        <w:t>ch.</w:t>
      </w:r>
      <w:proofErr w:type="spellEnd"/>
      <w:r>
        <w:rPr>
          <w:sz w:val="20"/>
        </w:rPr>
        <w:t xml:space="preserve"> 370 creating this statute directed its placement in KRS Chapter 350, it is clear from the subject matter of this statute and the structure of </w:t>
      </w:r>
      <w:proofErr w:type="spellStart"/>
      <w:r>
        <w:rPr>
          <w:sz w:val="20"/>
        </w:rPr>
        <w:t>ch.</w:t>
      </w:r>
      <w:proofErr w:type="spellEnd"/>
      <w:r>
        <w:rPr>
          <w:sz w:val="20"/>
        </w:rPr>
        <w:t xml:space="preserve"> 370 that placement in KRS Chapter 250 was intended, and this has been done in codification pursuant to KRS 7.136(1)(h).</w:t>
      </w:r>
    </w:p>
    <w:sectPr w:rsidR="00D5773F">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EF5D" w14:textId="77777777" w:rsidR="003900C4" w:rsidRDefault="003900C4" w:rsidP="00D206C5">
      <w:r>
        <w:separator/>
      </w:r>
    </w:p>
  </w:endnote>
  <w:endnote w:type="continuationSeparator" w:id="0">
    <w:p w14:paraId="09465263" w14:textId="77777777" w:rsidR="003900C4" w:rsidRDefault="003900C4" w:rsidP="00D2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9D7B" w14:textId="77777777" w:rsidR="003900C4" w:rsidRDefault="003900C4" w:rsidP="00D206C5">
      <w:r>
        <w:separator/>
      </w:r>
    </w:p>
  </w:footnote>
  <w:footnote w:type="continuationSeparator" w:id="0">
    <w:p w14:paraId="6E8D1D72" w14:textId="77777777" w:rsidR="003900C4" w:rsidRDefault="003900C4" w:rsidP="00D20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41E7E"/>
    <w:multiLevelType w:val="hybridMultilevel"/>
    <w:tmpl w:val="0E589476"/>
    <w:lvl w:ilvl="0" w:tplc="F022E472">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A6DF72">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BC9A0746">
      <w:numFmt w:val="bullet"/>
      <w:lvlText w:val="•"/>
      <w:lvlJc w:val="left"/>
      <w:pPr>
        <w:ind w:left="1977" w:hanging="548"/>
      </w:pPr>
      <w:rPr>
        <w:rFonts w:hint="default"/>
        <w:lang w:val="en-US" w:eastAsia="en-US" w:bidi="ar-SA"/>
      </w:rPr>
    </w:lvl>
    <w:lvl w:ilvl="3" w:tplc="7390E378">
      <w:numFmt w:val="bullet"/>
      <w:lvlText w:val="•"/>
      <w:lvlJc w:val="left"/>
      <w:pPr>
        <w:ind w:left="2855" w:hanging="548"/>
      </w:pPr>
      <w:rPr>
        <w:rFonts w:hint="default"/>
        <w:lang w:val="en-US" w:eastAsia="en-US" w:bidi="ar-SA"/>
      </w:rPr>
    </w:lvl>
    <w:lvl w:ilvl="4" w:tplc="3586B734">
      <w:numFmt w:val="bullet"/>
      <w:lvlText w:val="•"/>
      <w:lvlJc w:val="left"/>
      <w:pPr>
        <w:ind w:left="3733" w:hanging="548"/>
      </w:pPr>
      <w:rPr>
        <w:rFonts w:hint="default"/>
        <w:lang w:val="en-US" w:eastAsia="en-US" w:bidi="ar-SA"/>
      </w:rPr>
    </w:lvl>
    <w:lvl w:ilvl="5" w:tplc="B32E84BA">
      <w:numFmt w:val="bullet"/>
      <w:lvlText w:val="•"/>
      <w:lvlJc w:val="left"/>
      <w:pPr>
        <w:ind w:left="4611" w:hanging="548"/>
      </w:pPr>
      <w:rPr>
        <w:rFonts w:hint="default"/>
        <w:lang w:val="en-US" w:eastAsia="en-US" w:bidi="ar-SA"/>
      </w:rPr>
    </w:lvl>
    <w:lvl w:ilvl="6" w:tplc="364EAD40">
      <w:numFmt w:val="bullet"/>
      <w:lvlText w:val="•"/>
      <w:lvlJc w:val="left"/>
      <w:pPr>
        <w:ind w:left="5488" w:hanging="548"/>
      </w:pPr>
      <w:rPr>
        <w:rFonts w:hint="default"/>
        <w:lang w:val="en-US" w:eastAsia="en-US" w:bidi="ar-SA"/>
      </w:rPr>
    </w:lvl>
    <w:lvl w:ilvl="7" w:tplc="163C7E56">
      <w:numFmt w:val="bullet"/>
      <w:lvlText w:val="•"/>
      <w:lvlJc w:val="left"/>
      <w:pPr>
        <w:ind w:left="6366" w:hanging="548"/>
      </w:pPr>
      <w:rPr>
        <w:rFonts w:hint="default"/>
        <w:lang w:val="en-US" w:eastAsia="en-US" w:bidi="ar-SA"/>
      </w:rPr>
    </w:lvl>
    <w:lvl w:ilvl="8" w:tplc="2F148FC8">
      <w:numFmt w:val="bullet"/>
      <w:lvlText w:val="•"/>
      <w:lvlJc w:val="left"/>
      <w:pPr>
        <w:ind w:left="7244" w:hanging="548"/>
      </w:pPr>
      <w:rPr>
        <w:rFonts w:hint="default"/>
        <w:lang w:val="en-US" w:eastAsia="en-US" w:bidi="ar-SA"/>
      </w:rPr>
    </w:lvl>
  </w:abstractNum>
  <w:num w:numId="1" w16cid:durableId="12424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773F"/>
    <w:rsid w:val="003900C4"/>
    <w:rsid w:val="00482BE6"/>
    <w:rsid w:val="00D206C5"/>
    <w:rsid w:val="00D5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094" w:right="360" w:hanging="548"/>
      <w:jc w:val="both"/>
    </w:pPr>
    <w:rPr>
      <w:sz w:val="24"/>
      <w:szCs w:val="24"/>
    </w:rPr>
  </w:style>
  <w:style w:type="paragraph" w:styleId="ListParagraph">
    <w:name w:val="List Paragraph"/>
    <w:basedOn w:val="Normal"/>
    <w:uiPriority w:val="1"/>
    <w:qFormat/>
    <w:pPr>
      <w:spacing w:before="56"/>
      <w:ind w:left="1094" w:right="360"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06C5"/>
    <w:pPr>
      <w:tabs>
        <w:tab w:val="center" w:pos="4680"/>
        <w:tab w:val="right" w:pos="9360"/>
      </w:tabs>
    </w:pPr>
  </w:style>
  <w:style w:type="character" w:customStyle="1" w:styleId="HeaderChar">
    <w:name w:val="Header Char"/>
    <w:basedOn w:val="DefaultParagraphFont"/>
    <w:link w:val="Header"/>
    <w:uiPriority w:val="99"/>
    <w:rsid w:val="00D206C5"/>
    <w:rPr>
      <w:rFonts w:ascii="Times New Roman" w:eastAsia="Times New Roman" w:hAnsi="Times New Roman" w:cs="Times New Roman"/>
    </w:rPr>
  </w:style>
  <w:style w:type="paragraph" w:styleId="Footer">
    <w:name w:val="footer"/>
    <w:basedOn w:val="Normal"/>
    <w:link w:val="FooterChar"/>
    <w:uiPriority w:val="99"/>
    <w:unhideWhenUsed/>
    <w:rsid w:val="00D206C5"/>
    <w:pPr>
      <w:tabs>
        <w:tab w:val="center" w:pos="4680"/>
        <w:tab w:val="right" w:pos="9360"/>
      </w:tabs>
    </w:pPr>
  </w:style>
  <w:style w:type="character" w:customStyle="1" w:styleId="FooterChar">
    <w:name w:val="Footer Char"/>
    <w:basedOn w:val="DefaultParagraphFont"/>
    <w:link w:val="Footer"/>
    <w:uiPriority w:val="99"/>
    <w:rsid w:val="00D206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34187-C734-4BEA-9B79-14BDDF08ADB3}"/>
</file>

<file path=customXml/itemProps2.xml><?xml version="1.0" encoding="utf-8"?>
<ds:datastoreItem xmlns:ds="http://schemas.openxmlformats.org/officeDocument/2006/customXml" ds:itemID="{59A4D8BA-DAC9-4761-885D-E67C153738FE}"/>
</file>

<file path=customXml/itemProps3.xml><?xml version="1.0" encoding="utf-8"?>
<ds:datastoreItem xmlns:ds="http://schemas.openxmlformats.org/officeDocument/2006/customXml" ds:itemID="{FC11C042-B712-4598-92AB-D87CE5CEABE8}"/>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2026-04-07T21:22:00Z</dcterms:created>
  <dcterms:modified xsi:type="dcterms:W3CDTF">2026-04-07T21:22:00Z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