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5F16" w14:textId="77777777" w:rsidR="00E60319" w:rsidRDefault="00775AE8">
      <w:pPr>
        <w:pStyle w:val="Heading1"/>
      </w:pPr>
      <w:proofErr w:type="gramStart"/>
      <w:r>
        <w:t>250.031</w:t>
      </w:r>
      <w:r>
        <w:rPr>
          <w:spacing w:val="29"/>
        </w:rPr>
        <w:t xml:space="preserve">  </w:t>
      </w:r>
      <w:r>
        <w:t>Application</w:t>
      </w:r>
      <w:proofErr w:type="gramEnd"/>
      <w:r>
        <w:rPr>
          <w:spacing w:val="1"/>
        </w:rPr>
        <w:t xml:space="preserve"> </w:t>
      </w:r>
      <w:r>
        <w:t xml:space="preserve">of KRS 250.021 to 250. </w:t>
      </w:r>
      <w:r>
        <w:rPr>
          <w:spacing w:val="-4"/>
        </w:rPr>
        <w:t>111.</w:t>
      </w:r>
    </w:p>
    <w:p w14:paraId="3FD75F17" w14:textId="77777777" w:rsidR="00E60319" w:rsidRDefault="00775AE8">
      <w:pPr>
        <w:pStyle w:val="ListParagraph"/>
        <w:numPr>
          <w:ilvl w:val="0"/>
          <w:numId w:val="1"/>
        </w:numPr>
        <w:tabs>
          <w:tab w:val="left" w:pos="546"/>
        </w:tabs>
        <w:spacing w:before="123"/>
        <w:ind w:left="546" w:hanging="546"/>
        <w:jc w:val="both"/>
        <w:rPr>
          <w:sz w:val="24"/>
        </w:rPr>
      </w:pPr>
      <w:r>
        <w:rPr>
          <w:sz w:val="24"/>
        </w:rPr>
        <w:t>The</w:t>
      </w:r>
      <w:r>
        <w:rPr>
          <w:spacing w:val="-3"/>
          <w:sz w:val="24"/>
        </w:rPr>
        <w:t xml:space="preserve"> </w:t>
      </w:r>
      <w:r>
        <w:rPr>
          <w:sz w:val="24"/>
        </w:rPr>
        <w:t>requirements</w:t>
      </w:r>
      <w:r>
        <w:rPr>
          <w:spacing w:val="-1"/>
          <w:sz w:val="24"/>
        </w:rPr>
        <w:t xml:space="preserve"> </w:t>
      </w:r>
      <w:r>
        <w:rPr>
          <w:sz w:val="24"/>
        </w:rPr>
        <w:t>and</w:t>
      </w:r>
      <w:r>
        <w:rPr>
          <w:spacing w:val="-1"/>
          <w:sz w:val="24"/>
        </w:rPr>
        <w:t xml:space="preserve"> </w:t>
      </w:r>
      <w:r>
        <w:rPr>
          <w:sz w:val="24"/>
        </w:rPr>
        <w:t>prohibitions of</w:t>
      </w:r>
      <w:r>
        <w:rPr>
          <w:spacing w:val="-1"/>
          <w:sz w:val="24"/>
        </w:rPr>
        <w:t xml:space="preserve"> </w:t>
      </w:r>
      <w:r>
        <w:rPr>
          <w:sz w:val="24"/>
        </w:rPr>
        <w:t>KRS</w:t>
      </w:r>
      <w:r>
        <w:rPr>
          <w:spacing w:val="-1"/>
          <w:sz w:val="24"/>
        </w:rPr>
        <w:t xml:space="preserve"> </w:t>
      </w:r>
      <w:r>
        <w:rPr>
          <w:sz w:val="24"/>
        </w:rPr>
        <w:t>250.021</w:t>
      </w:r>
      <w:r>
        <w:rPr>
          <w:spacing w:val="-1"/>
          <w:sz w:val="24"/>
        </w:rPr>
        <w:t xml:space="preserve"> </w:t>
      </w:r>
      <w:r>
        <w:rPr>
          <w:sz w:val="24"/>
        </w:rPr>
        <w:t>to 250.111</w:t>
      </w:r>
      <w:r>
        <w:rPr>
          <w:spacing w:val="-1"/>
          <w:sz w:val="24"/>
        </w:rPr>
        <w:t xml:space="preserve"> </w:t>
      </w:r>
      <w:r>
        <w:rPr>
          <w:sz w:val="24"/>
        </w:rPr>
        <w:t>shall</w:t>
      </w:r>
      <w:r>
        <w:rPr>
          <w:spacing w:val="-1"/>
          <w:sz w:val="24"/>
        </w:rPr>
        <w:t xml:space="preserve"> </w:t>
      </w:r>
      <w:r>
        <w:rPr>
          <w:sz w:val="24"/>
        </w:rPr>
        <w:t xml:space="preserve">not </w:t>
      </w:r>
      <w:r>
        <w:rPr>
          <w:spacing w:val="-2"/>
          <w:sz w:val="24"/>
        </w:rPr>
        <w:t>apply:</w:t>
      </w:r>
    </w:p>
    <w:p w14:paraId="3FD75F18" w14:textId="77777777" w:rsidR="00E60319" w:rsidRDefault="00775AE8">
      <w:pPr>
        <w:pStyle w:val="ListParagraph"/>
        <w:numPr>
          <w:ilvl w:val="1"/>
          <w:numId w:val="1"/>
        </w:numPr>
        <w:tabs>
          <w:tab w:val="left" w:pos="1093"/>
        </w:tabs>
        <w:ind w:left="1093" w:hanging="546"/>
        <w:jc w:val="both"/>
        <w:rPr>
          <w:sz w:val="24"/>
        </w:rPr>
      </w:pPr>
      <w:r>
        <w:rPr>
          <w:sz w:val="24"/>
        </w:rPr>
        <w:t>To</w:t>
      </w:r>
      <w:r>
        <w:rPr>
          <w:spacing w:val="-2"/>
          <w:sz w:val="24"/>
        </w:rPr>
        <w:t xml:space="preserve"> </w:t>
      </w:r>
      <w:r>
        <w:rPr>
          <w:sz w:val="24"/>
        </w:rPr>
        <w:t>seed</w:t>
      </w:r>
      <w:r>
        <w:rPr>
          <w:spacing w:val="-1"/>
          <w:sz w:val="24"/>
        </w:rPr>
        <w:t xml:space="preserve"> </w:t>
      </w:r>
      <w:r>
        <w:rPr>
          <w:sz w:val="24"/>
        </w:rPr>
        <w:t>or</w:t>
      </w:r>
      <w:r>
        <w:rPr>
          <w:spacing w:val="-1"/>
          <w:sz w:val="24"/>
        </w:rPr>
        <w:t xml:space="preserve"> </w:t>
      </w:r>
      <w:r>
        <w:rPr>
          <w:sz w:val="24"/>
        </w:rPr>
        <w:t>grain</w:t>
      </w:r>
      <w:r>
        <w:rPr>
          <w:spacing w:val="-1"/>
          <w:sz w:val="24"/>
        </w:rPr>
        <w:t xml:space="preserve"> </w:t>
      </w:r>
      <w:r>
        <w:rPr>
          <w:sz w:val="24"/>
        </w:rPr>
        <w:t>not</w:t>
      </w:r>
      <w:r>
        <w:rPr>
          <w:spacing w:val="-1"/>
          <w:sz w:val="24"/>
        </w:rPr>
        <w:t xml:space="preserve"> </w:t>
      </w:r>
      <w:r>
        <w:rPr>
          <w:sz w:val="24"/>
        </w:rPr>
        <w:t>distributed</w:t>
      </w:r>
      <w:r>
        <w:rPr>
          <w:spacing w:val="-1"/>
          <w:sz w:val="24"/>
        </w:rPr>
        <w:t xml:space="preserve"> </w:t>
      </w:r>
      <w:r>
        <w:rPr>
          <w:sz w:val="24"/>
        </w:rPr>
        <w:t>for</w:t>
      </w:r>
      <w:r>
        <w:rPr>
          <w:spacing w:val="-3"/>
          <w:sz w:val="24"/>
        </w:rPr>
        <w:t xml:space="preserve"> </w:t>
      </w:r>
      <w:r>
        <w:rPr>
          <w:sz w:val="24"/>
        </w:rPr>
        <w:t>planting</w:t>
      </w:r>
      <w:r>
        <w:rPr>
          <w:spacing w:val="-3"/>
          <w:sz w:val="24"/>
        </w:rPr>
        <w:t xml:space="preserve"> </w:t>
      </w:r>
      <w:r>
        <w:rPr>
          <w:spacing w:val="-2"/>
          <w:sz w:val="24"/>
        </w:rPr>
        <w:t>purposes.</w:t>
      </w:r>
    </w:p>
    <w:p w14:paraId="3FD75F19" w14:textId="77777777" w:rsidR="00E60319" w:rsidRDefault="00775AE8">
      <w:pPr>
        <w:pStyle w:val="ListParagraph"/>
        <w:numPr>
          <w:ilvl w:val="1"/>
          <w:numId w:val="1"/>
        </w:numPr>
        <w:tabs>
          <w:tab w:val="left" w:pos="1092"/>
          <w:tab w:val="left" w:pos="1094"/>
        </w:tabs>
        <w:spacing w:line="247" w:lineRule="auto"/>
        <w:ind w:right="358"/>
        <w:jc w:val="both"/>
        <w:rPr>
          <w:sz w:val="24"/>
        </w:rPr>
      </w:pPr>
      <w:r>
        <w:rPr>
          <w:sz w:val="24"/>
        </w:rPr>
        <w:t>To seed in storage in, or being transported or consigned to a conditioning establishment, if the invoice or labeling accompanying any shipment of the seed bears the statement "seed for conditioning"; and if any labeling or other representation which may be made with respect to the unconditioned seed of the same lot shall be subject to KRS 250.021 to 250.111.</w:t>
      </w:r>
    </w:p>
    <w:p w14:paraId="3FD75F1A" w14:textId="77777777" w:rsidR="00E60319" w:rsidRDefault="00775AE8">
      <w:pPr>
        <w:pStyle w:val="ListParagraph"/>
        <w:numPr>
          <w:ilvl w:val="1"/>
          <w:numId w:val="1"/>
        </w:numPr>
        <w:tabs>
          <w:tab w:val="left" w:pos="1092"/>
          <w:tab w:val="left" w:pos="1094"/>
        </w:tabs>
        <w:spacing w:before="55" w:line="247" w:lineRule="auto"/>
        <w:ind w:right="359"/>
        <w:jc w:val="both"/>
        <w:rPr>
          <w:sz w:val="24"/>
        </w:rPr>
      </w:pPr>
      <w:r>
        <w:rPr>
          <w:sz w:val="24"/>
        </w:rPr>
        <w:t>To</w:t>
      </w:r>
      <w:r>
        <w:rPr>
          <w:spacing w:val="-4"/>
          <w:sz w:val="24"/>
        </w:rPr>
        <w:t xml:space="preserve"> </w:t>
      </w:r>
      <w:r>
        <w:rPr>
          <w:sz w:val="24"/>
        </w:rPr>
        <w:t>any</w:t>
      </w:r>
      <w:r>
        <w:rPr>
          <w:spacing w:val="-9"/>
          <w:sz w:val="24"/>
        </w:rPr>
        <w:t xml:space="preserve"> </w:t>
      </w:r>
      <w:r>
        <w:rPr>
          <w:sz w:val="24"/>
        </w:rPr>
        <w:t>carrier</w:t>
      </w:r>
      <w:r>
        <w:rPr>
          <w:spacing w:val="-5"/>
          <w:sz w:val="24"/>
        </w:rPr>
        <w:t xml:space="preserve"> </w:t>
      </w:r>
      <w:r>
        <w:rPr>
          <w:sz w:val="24"/>
        </w:rPr>
        <w:t>in</w:t>
      </w:r>
      <w:r>
        <w:rPr>
          <w:spacing w:val="-5"/>
          <w:sz w:val="24"/>
        </w:rPr>
        <w:t xml:space="preserve"> </w:t>
      </w:r>
      <w:r>
        <w:rPr>
          <w:sz w:val="24"/>
        </w:rPr>
        <w:t>respect</w:t>
      </w:r>
      <w:r>
        <w:rPr>
          <w:spacing w:val="-5"/>
          <w:sz w:val="24"/>
        </w:rPr>
        <w:t xml:space="preserve"> </w:t>
      </w:r>
      <w:r>
        <w:rPr>
          <w:sz w:val="24"/>
        </w:rPr>
        <w:t>to</w:t>
      </w:r>
      <w:r>
        <w:rPr>
          <w:spacing w:val="-5"/>
          <w:sz w:val="24"/>
        </w:rPr>
        <w:t xml:space="preserve"> </w:t>
      </w:r>
      <w:r>
        <w:rPr>
          <w:sz w:val="24"/>
        </w:rPr>
        <w:t>any</w:t>
      </w:r>
      <w:r>
        <w:rPr>
          <w:spacing w:val="-12"/>
          <w:sz w:val="24"/>
        </w:rPr>
        <w:t xml:space="preserve"> </w:t>
      </w:r>
      <w:r>
        <w:rPr>
          <w:sz w:val="24"/>
        </w:rPr>
        <w:t>seed</w:t>
      </w:r>
      <w:r>
        <w:rPr>
          <w:spacing w:val="-5"/>
          <w:sz w:val="24"/>
        </w:rPr>
        <w:t xml:space="preserve"> </w:t>
      </w:r>
      <w:r>
        <w:rPr>
          <w:sz w:val="24"/>
        </w:rPr>
        <w:t>transported</w:t>
      </w:r>
      <w:r>
        <w:rPr>
          <w:spacing w:val="-5"/>
          <w:sz w:val="24"/>
        </w:rPr>
        <w:t xml:space="preserve"> </w:t>
      </w:r>
      <w:r>
        <w:rPr>
          <w:sz w:val="24"/>
        </w:rPr>
        <w:t>or</w:t>
      </w:r>
      <w:r>
        <w:rPr>
          <w:spacing w:val="-5"/>
          <w:sz w:val="24"/>
        </w:rPr>
        <w:t xml:space="preserve"> </w:t>
      </w:r>
      <w:r>
        <w:rPr>
          <w:sz w:val="24"/>
        </w:rPr>
        <w:t>delivered</w:t>
      </w:r>
      <w:r>
        <w:rPr>
          <w:spacing w:val="-5"/>
          <w:sz w:val="24"/>
        </w:rPr>
        <w:t xml:space="preserve"> </w:t>
      </w:r>
      <w:r>
        <w:rPr>
          <w:sz w:val="24"/>
        </w:rPr>
        <w:t>for</w:t>
      </w:r>
      <w:r>
        <w:rPr>
          <w:spacing w:val="-6"/>
          <w:sz w:val="24"/>
        </w:rPr>
        <w:t xml:space="preserve"> </w:t>
      </w:r>
      <w:r>
        <w:rPr>
          <w:sz w:val="24"/>
        </w:rPr>
        <w:t>transportation in</w:t>
      </w:r>
      <w:r>
        <w:rPr>
          <w:spacing w:val="-2"/>
          <w:sz w:val="24"/>
        </w:rPr>
        <w:t xml:space="preserve"> </w:t>
      </w:r>
      <w:r>
        <w:rPr>
          <w:sz w:val="24"/>
        </w:rPr>
        <w:t>the</w:t>
      </w:r>
      <w:r>
        <w:rPr>
          <w:spacing w:val="-4"/>
          <w:sz w:val="24"/>
        </w:rPr>
        <w:t xml:space="preserve"> </w:t>
      </w:r>
      <w:r>
        <w:rPr>
          <w:sz w:val="24"/>
        </w:rPr>
        <w:t>ordinary</w:t>
      </w:r>
      <w:r>
        <w:rPr>
          <w:spacing w:val="-11"/>
          <w:sz w:val="24"/>
        </w:rPr>
        <w:t xml:space="preserve"> </w:t>
      </w:r>
      <w:r>
        <w:rPr>
          <w:sz w:val="24"/>
        </w:rPr>
        <w:t>course</w:t>
      </w:r>
      <w:r>
        <w:rPr>
          <w:spacing w:val="-6"/>
          <w:sz w:val="24"/>
        </w:rPr>
        <w:t xml:space="preserve"> </w:t>
      </w:r>
      <w:r>
        <w:rPr>
          <w:sz w:val="24"/>
        </w:rPr>
        <w:t>of</w:t>
      </w:r>
      <w:r>
        <w:rPr>
          <w:spacing w:val="-4"/>
          <w:sz w:val="24"/>
        </w:rPr>
        <w:t xml:space="preserve"> </w:t>
      </w:r>
      <w:r>
        <w:rPr>
          <w:sz w:val="24"/>
        </w:rPr>
        <w:t>its</w:t>
      </w:r>
      <w:r>
        <w:rPr>
          <w:spacing w:val="-4"/>
          <w:sz w:val="24"/>
        </w:rPr>
        <w:t xml:space="preserve"> </w:t>
      </w:r>
      <w:r>
        <w:rPr>
          <w:sz w:val="24"/>
        </w:rPr>
        <w:t>business</w:t>
      </w:r>
      <w:r>
        <w:rPr>
          <w:spacing w:val="-4"/>
          <w:sz w:val="24"/>
        </w:rPr>
        <w:t xml:space="preserve"> </w:t>
      </w:r>
      <w:r>
        <w:rPr>
          <w:sz w:val="24"/>
        </w:rPr>
        <w:t>as</w:t>
      </w:r>
      <w:r>
        <w:rPr>
          <w:spacing w:val="-4"/>
          <w:sz w:val="24"/>
        </w:rPr>
        <w:t xml:space="preserve"> </w:t>
      </w:r>
      <w:r>
        <w:rPr>
          <w:sz w:val="24"/>
        </w:rPr>
        <w:t>a</w:t>
      </w:r>
      <w:r>
        <w:rPr>
          <w:spacing w:val="-5"/>
          <w:sz w:val="24"/>
        </w:rPr>
        <w:t xml:space="preserve"> </w:t>
      </w:r>
      <w:r>
        <w:rPr>
          <w:sz w:val="24"/>
        </w:rPr>
        <w:t>carrier</w:t>
      </w:r>
      <w:r>
        <w:rPr>
          <w:spacing w:val="-6"/>
          <w:sz w:val="24"/>
        </w:rPr>
        <w:t xml:space="preserve"> </w:t>
      </w:r>
      <w:r>
        <w:rPr>
          <w:sz w:val="24"/>
        </w:rPr>
        <w:t>if</w:t>
      </w:r>
      <w:r>
        <w:rPr>
          <w:spacing w:val="-4"/>
          <w:sz w:val="24"/>
        </w:rPr>
        <w:t xml:space="preserve"> </w:t>
      </w:r>
      <w:r>
        <w:rPr>
          <w:sz w:val="24"/>
        </w:rPr>
        <w:t>the</w:t>
      </w:r>
      <w:r>
        <w:rPr>
          <w:spacing w:val="-5"/>
          <w:sz w:val="24"/>
        </w:rPr>
        <w:t xml:space="preserve"> </w:t>
      </w:r>
      <w:r>
        <w:rPr>
          <w:sz w:val="24"/>
        </w:rPr>
        <w:t>carrier</w:t>
      </w:r>
      <w:r>
        <w:rPr>
          <w:spacing w:val="-6"/>
          <w:sz w:val="24"/>
        </w:rPr>
        <w:t xml:space="preserve"> </w:t>
      </w:r>
      <w:r>
        <w:rPr>
          <w:sz w:val="24"/>
        </w:rPr>
        <w:t>is</w:t>
      </w:r>
      <w:r>
        <w:rPr>
          <w:spacing w:val="-4"/>
          <w:sz w:val="24"/>
        </w:rPr>
        <w:t xml:space="preserve"> </w:t>
      </w:r>
      <w:r>
        <w:rPr>
          <w:sz w:val="24"/>
        </w:rPr>
        <w:t>not</w:t>
      </w:r>
      <w:r>
        <w:rPr>
          <w:spacing w:val="-4"/>
          <w:sz w:val="24"/>
        </w:rPr>
        <w:t xml:space="preserve"> </w:t>
      </w:r>
      <w:r>
        <w:rPr>
          <w:sz w:val="24"/>
        </w:rPr>
        <w:t>engaged</w:t>
      </w:r>
      <w:r>
        <w:rPr>
          <w:spacing w:val="-4"/>
          <w:sz w:val="24"/>
        </w:rPr>
        <w:t xml:space="preserve"> </w:t>
      </w:r>
      <w:r>
        <w:rPr>
          <w:sz w:val="24"/>
        </w:rPr>
        <w:t>in producing, conditioning, or distributing seed subject to the provisions of KRS</w:t>
      </w:r>
    </w:p>
    <w:p w14:paraId="3FD75F1B" w14:textId="77777777" w:rsidR="00E60319" w:rsidRDefault="00775AE8">
      <w:pPr>
        <w:pStyle w:val="BodyText"/>
        <w:spacing w:before="0" w:line="273" w:lineRule="exact"/>
        <w:ind w:firstLine="0"/>
      </w:pPr>
      <w:r>
        <w:t xml:space="preserve">250.021 to </w:t>
      </w:r>
      <w:r>
        <w:rPr>
          <w:spacing w:val="-2"/>
        </w:rPr>
        <w:t>250.111.</w:t>
      </w:r>
    </w:p>
    <w:p w14:paraId="3FD75F1C" w14:textId="77777777" w:rsidR="00E60319" w:rsidRDefault="00775AE8">
      <w:pPr>
        <w:pStyle w:val="ListParagraph"/>
        <w:numPr>
          <w:ilvl w:val="1"/>
          <w:numId w:val="1"/>
        </w:numPr>
        <w:tabs>
          <w:tab w:val="left" w:pos="1092"/>
          <w:tab w:val="left" w:pos="1094"/>
        </w:tabs>
        <w:spacing w:line="247" w:lineRule="auto"/>
        <w:ind w:right="358"/>
        <w:jc w:val="both"/>
        <w:rPr>
          <w:sz w:val="24"/>
        </w:rPr>
      </w:pPr>
      <w:r>
        <w:rPr>
          <w:sz w:val="24"/>
        </w:rPr>
        <w:t>To seed grown, sold and delivered by a producer on his own premises to the purchaser himself. If, however, the seed is advertised by the public press, circular, or catalog, or if the seed is delivered by a common carrier, the seed and the distributor shall be subject to the certification and labeling requirements of KRS 250.021 to 250.111.</w:t>
      </w:r>
    </w:p>
    <w:p w14:paraId="3FD75F1D" w14:textId="77777777" w:rsidR="00E60319" w:rsidRDefault="00775AE8">
      <w:pPr>
        <w:pStyle w:val="ListParagraph"/>
        <w:numPr>
          <w:ilvl w:val="0"/>
          <w:numId w:val="1"/>
        </w:numPr>
        <w:tabs>
          <w:tab w:val="left" w:pos="545"/>
          <w:tab w:val="left" w:pos="547"/>
        </w:tabs>
        <w:spacing w:before="55" w:line="247" w:lineRule="auto"/>
        <w:ind w:right="355"/>
        <w:jc w:val="both"/>
        <w:rPr>
          <w:sz w:val="24"/>
        </w:rPr>
      </w:pPr>
      <w:r>
        <w:rPr>
          <w:sz w:val="24"/>
        </w:rPr>
        <w:t>No person shall be subject to the penalties of KRS 250.111 for having distributed seed which were incorrectly labeled or represented as to kind, species, and subspecies, if appropriate, variety, type, or origin, which seed cannot be identified by examination thereof, unless he has failed to obtain an invoice, genuine grower's declaration, or other labeling information and to take other reasonable precautions</w:t>
      </w:r>
      <w:r>
        <w:rPr>
          <w:spacing w:val="40"/>
          <w:sz w:val="24"/>
        </w:rPr>
        <w:t xml:space="preserve"> </w:t>
      </w:r>
      <w:r>
        <w:rPr>
          <w:sz w:val="24"/>
        </w:rPr>
        <w:t xml:space="preserve">to ensure the identity to be that stated. A genuine grower's declaration of variety shall affirm that the grower holds records of proof concerning parent </w:t>
      </w:r>
      <w:proofErr w:type="gramStart"/>
      <w:r>
        <w:rPr>
          <w:sz w:val="24"/>
        </w:rPr>
        <w:t>seed</w:t>
      </w:r>
      <w:proofErr w:type="gramEnd"/>
      <w:r>
        <w:rPr>
          <w:sz w:val="24"/>
        </w:rPr>
        <w:t xml:space="preserve">, such as </w:t>
      </w:r>
      <w:proofErr w:type="gramStart"/>
      <w:r>
        <w:rPr>
          <w:sz w:val="24"/>
        </w:rPr>
        <w:t>invoice</w:t>
      </w:r>
      <w:proofErr w:type="gramEnd"/>
      <w:r>
        <w:rPr>
          <w:sz w:val="24"/>
        </w:rPr>
        <w:t xml:space="preserve"> and </w:t>
      </w:r>
      <w:proofErr w:type="gramStart"/>
      <w:r>
        <w:rPr>
          <w:sz w:val="24"/>
        </w:rPr>
        <w:t>label</w:t>
      </w:r>
      <w:proofErr w:type="gramEnd"/>
      <w:r>
        <w:rPr>
          <w:sz w:val="24"/>
        </w:rPr>
        <w:t>.</w:t>
      </w:r>
    </w:p>
    <w:p w14:paraId="3FD75F1E" w14:textId="77777777" w:rsidR="00E60319" w:rsidRDefault="00775AE8">
      <w:pPr>
        <w:pStyle w:val="ListParagraph"/>
        <w:numPr>
          <w:ilvl w:val="0"/>
          <w:numId w:val="1"/>
        </w:numPr>
        <w:tabs>
          <w:tab w:val="left" w:pos="545"/>
          <w:tab w:val="left" w:pos="547"/>
        </w:tabs>
        <w:spacing w:before="52" w:line="247" w:lineRule="auto"/>
        <w:ind w:right="349"/>
        <w:jc w:val="both"/>
        <w:rPr>
          <w:sz w:val="24"/>
        </w:rPr>
      </w:pPr>
      <w:r>
        <w:rPr>
          <w:sz w:val="24"/>
        </w:rPr>
        <w:t>The director may by administrative regulation omit the requirement for variety designation on labels of seed kinds not commonly sold by variety name.</w:t>
      </w:r>
    </w:p>
    <w:p w14:paraId="3FD75F1F" w14:textId="77777777" w:rsidR="00E60319" w:rsidRDefault="00775AE8">
      <w:pPr>
        <w:spacing w:before="62"/>
        <w:ind w:left="1440"/>
        <w:rPr>
          <w:sz w:val="20"/>
        </w:rPr>
      </w:pPr>
      <w:r>
        <w:rPr>
          <w:b/>
          <w:sz w:val="20"/>
        </w:rPr>
        <w:t>Effective:</w:t>
      </w:r>
      <w:r>
        <w:rPr>
          <w:b/>
          <w:spacing w:val="15"/>
          <w:sz w:val="20"/>
        </w:rPr>
        <w:t xml:space="preserve"> </w:t>
      </w:r>
      <w:r>
        <w:rPr>
          <w:sz w:val="20"/>
        </w:rPr>
        <w:t>April</w:t>
      </w:r>
      <w:r>
        <w:rPr>
          <w:spacing w:val="-6"/>
          <w:sz w:val="20"/>
        </w:rPr>
        <w:t xml:space="preserve"> </w:t>
      </w:r>
      <w:r>
        <w:rPr>
          <w:sz w:val="20"/>
        </w:rPr>
        <w:t>8,</w:t>
      </w:r>
      <w:r>
        <w:rPr>
          <w:spacing w:val="-4"/>
          <w:sz w:val="20"/>
        </w:rPr>
        <w:t xml:space="preserve"> 1994</w:t>
      </w:r>
    </w:p>
    <w:p w14:paraId="3FD75F20" w14:textId="77777777" w:rsidR="00E60319" w:rsidRDefault="00775AE8">
      <w:pPr>
        <w:spacing w:before="70"/>
        <w:ind w:left="1440"/>
        <w:rPr>
          <w:sz w:val="20"/>
        </w:rPr>
      </w:pPr>
      <w:r>
        <w:rPr>
          <w:b/>
          <w:sz w:val="20"/>
        </w:rPr>
        <w:t>History:</w:t>
      </w:r>
      <w:r>
        <w:rPr>
          <w:b/>
          <w:spacing w:val="34"/>
          <w:sz w:val="20"/>
        </w:rPr>
        <w:t xml:space="preserve">  </w:t>
      </w:r>
      <w:r>
        <w:rPr>
          <w:sz w:val="20"/>
        </w:rPr>
        <w:t>Created</w:t>
      </w:r>
      <w:r>
        <w:rPr>
          <w:spacing w:val="-3"/>
          <w:sz w:val="20"/>
        </w:rPr>
        <w:t xml:space="preserve"> </w:t>
      </w:r>
      <w:r>
        <w:rPr>
          <w:sz w:val="20"/>
        </w:rPr>
        <w:t>1994</w:t>
      </w:r>
      <w:r>
        <w:rPr>
          <w:spacing w:val="-3"/>
          <w:sz w:val="20"/>
        </w:rPr>
        <w:t xml:space="preserve"> </w:t>
      </w:r>
      <w:r>
        <w:rPr>
          <w:sz w:val="20"/>
        </w:rPr>
        <w:t>Ky.</w:t>
      </w:r>
      <w:r>
        <w:rPr>
          <w:spacing w:val="-4"/>
          <w:sz w:val="20"/>
        </w:rPr>
        <w:t xml:space="preserve"> </w:t>
      </w:r>
      <w:r>
        <w:rPr>
          <w:sz w:val="20"/>
        </w:rPr>
        <w:t>Acts</w:t>
      </w:r>
      <w:r>
        <w:rPr>
          <w:spacing w:val="-5"/>
          <w:sz w:val="20"/>
        </w:rPr>
        <w:t xml:space="preserve"> </w:t>
      </w:r>
      <w:proofErr w:type="spellStart"/>
      <w:r>
        <w:rPr>
          <w:sz w:val="20"/>
        </w:rPr>
        <w:t>ch.</w:t>
      </w:r>
      <w:proofErr w:type="spellEnd"/>
      <w:r>
        <w:rPr>
          <w:spacing w:val="-4"/>
          <w:sz w:val="20"/>
        </w:rPr>
        <w:t xml:space="preserve"> </w:t>
      </w:r>
      <w:r>
        <w:rPr>
          <w:sz w:val="20"/>
        </w:rPr>
        <w:t>370,</w:t>
      </w:r>
      <w:r>
        <w:rPr>
          <w:spacing w:val="-4"/>
          <w:sz w:val="20"/>
        </w:rPr>
        <w:t xml:space="preserve"> </w:t>
      </w:r>
      <w:r>
        <w:rPr>
          <w:sz w:val="20"/>
        </w:rPr>
        <w:t>sec.</w:t>
      </w:r>
      <w:r>
        <w:rPr>
          <w:spacing w:val="-3"/>
          <w:sz w:val="20"/>
        </w:rPr>
        <w:t xml:space="preserve"> </w:t>
      </w:r>
      <w:r>
        <w:rPr>
          <w:sz w:val="20"/>
        </w:rPr>
        <w:t>2,</w:t>
      </w:r>
      <w:r>
        <w:rPr>
          <w:spacing w:val="-4"/>
          <w:sz w:val="20"/>
        </w:rPr>
        <w:t xml:space="preserve"> </w:t>
      </w:r>
      <w:r>
        <w:rPr>
          <w:sz w:val="20"/>
        </w:rPr>
        <w:t>effective</w:t>
      </w:r>
      <w:r>
        <w:rPr>
          <w:spacing w:val="-4"/>
          <w:sz w:val="20"/>
        </w:rPr>
        <w:t xml:space="preserve"> </w:t>
      </w:r>
      <w:r>
        <w:rPr>
          <w:sz w:val="20"/>
        </w:rPr>
        <w:t>April</w:t>
      </w:r>
      <w:r>
        <w:rPr>
          <w:spacing w:val="-5"/>
          <w:sz w:val="20"/>
        </w:rPr>
        <w:t xml:space="preserve"> </w:t>
      </w:r>
      <w:r>
        <w:rPr>
          <w:sz w:val="20"/>
        </w:rPr>
        <w:t>8,</w:t>
      </w:r>
      <w:r>
        <w:rPr>
          <w:spacing w:val="-4"/>
          <w:sz w:val="20"/>
        </w:rPr>
        <w:t xml:space="preserve"> </w:t>
      </w:r>
      <w:r>
        <w:rPr>
          <w:spacing w:val="-2"/>
          <w:sz w:val="20"/>
        </w:rPr>
        <w:t>1994.</w:t>
      </w:r>
    </w:p>
    <w:sectPr w:rsidR="00E60319">
      <w:type w:val="continuous"/>
      <w:pgSz w:w="12240" w:h="15840"/>
      <w:pgMar w:top="1380" w:right="144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F404" w14:textId="77777777" w:rsidR="00775AE8" w:rsidRDefault="00775AE8" w:rsidP="000B4BF2">
      <w:r>
        <w:separator/>
      </w:r>
    </w:p>
  </w:endnote>
  <w:endnote w:type="continuationSeparator" w:id="0">
    <w:p w14:paraId="41165202" w14:textId="77777777" w:rsidR="00775AE8" w:rsidRDefault="00775AE8" w:rsidP="000B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6F62F" w14:textId="77777777" w:rsidR="00775AE8" w:rsidRDefault="00775AE8" w:rsidP="000B4BF2">
      <w:r>
        <w:separator/>
      </w:r>
    </w:p>
  </w:footnote>
  <w:footnote w:type="continuationSeparator" w:id="0">
    <w:p w14:paraId="2444496E" w14:textId="77777777" w:rsidR="00775AE8" w:rsidRDefault="00775AE8" w:rsidP="000B4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7552C"/>
    <w:multiLevelType w:val="hybridMultilevel"/>
    <w:tmpl w:val="627CA396"/>
    <w:lvl w:ilvl="0" w:tplc="5FC0A59C">
      <w:start w:val="1"/>
      <w:numFmt w:val="decimal"/>
      <w:lvlText w:val="(%1)"/>
      <w:lvlJc w:val="left"/>
      <w:pPr>
        <w:ind w:left="547" w:hanging="5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1C7FCA">
      <w:start w:val="1"/>
      <w:numFmt w:val="lowerLetter"/>
      <w:lvlText w:val="(%2)"/>
      <w:lvlJc w:val="left"/>
      <w:pPr>
        <w:ind w:left="1094" w:hanging="548"/>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D5D0271C">
      <w:numFmt w:val="bullet"/>
      <w:lvlText w:val="•"/>
      <w:lvlJc w:val="left"/>
      <w:pPr>
        <w:ind w:left="1977" w:hanging="548"/>
      </w:pPr>
      <w:rPr>
        <w:rFonts w:hint="default"/>
        <w:lang w:val="en-US" w:eastAsia="en-US" w:bidi="ar-SA"/>
      </w:rPr>
    </w:lvl>
    <w:lvl w:ilvl="3" w:tplc="C1A425D0">
      <w:numFmt w:val="bullet"/>
      <w:lvlText w:val="•"/>
      <w:lvlJc w:val="left"/>
      <w:pPr>
        <w:ind w:left="2855" w:hanging="548"/>
      </w:pPr>
      <w:rPr>
        <w:rFonts w:hint="default"/>
        <w:lang w:val="en-US" w:eastAsia="en-US" w:bidi="ar-SA"/>
      </w:rPr>
    </w:lvl>
    <w:lvl w:ilvl="4" w:tplc="188287E6">
      <w:numFmt w:val="bullet"/>
      <w:lvlText w:val="•"/>
      <w:lvlJc w:val="left"/>
      <w:pPr>
        <w:ind w:left="3733" w:hanging="548"/>
      </w:pPr>
      <w:rPr>
        <w:rFonts w:hint="default"/>
        <w:lang w:val="en-US" w:eastAsia="en-US" w:bidi="ar-SA"/>
      </w:rPr>
    </w:lvl>
    <w:lvl w:ilvl="5" w:tplc="F44223E8">
      <w:numFmt w:val="bullet"/>
      <w:lvlText w:val="•"/>
      <w:lvlJc w:val="left"/>
      <w:pPr>
        <w:ind w:left="4611" w:hanging="548"/>
      </w:pPr>
      <w:rPr>
        <w:rFonts w:hint="default"/>
        <w:lang w:val="en-US" w:eastAsia="en-US" w:bidi="ar-SA"/>
      </w:rPr>
    </w:lvl>
    <w:lvl w:ilvl="6" w:tplc="E760EF70">
      <w:numFmt w:val="bullet"/>
      <w:lvlText w:val="•"/>
      <w:lvlJc w:val="left"/>
      <w:pPr>
        <w:ind w:left="5488" w:hanging="548"/>
      </w:pPr>
      <w:rPr>
        <w:rFonts w:hint="default"/>
        <w:lang w:val="en-US" w:eastAsia="en-US" w:bidi="ar-SA"/>
      </w:rPr>
    </w:lvl>
    <w:lvl w:ilvl="7" w:tplc="38BA8912">
      <w:numFmt w:val="bullet"/>
      <w:lvlText w:val="•"/>
      <w:lvlJc w:val="left"/>
      <w:pPr>
        <w:ind w:left="6366" w:hanging="548"/>
      </w:pPr>
      <w:rPr>
        <w:rFonts w:hint="default"/>
        <w:lang w:val="en-US" w:eastAsia="en-US" w:bidi="ar-SA"/>
      </w:rPr>
    </w:lvl>
    <w:lvl w:ilvl="8" w:tplc="10062C44">
      <w:numFmt w:val="bullet"/>
      <w:lvlText w:val="•"/>
      <w:lvlJc w:val="left"/>
      <w:pPr>
        <w:ind w:left="7244" w:hanging="548"/>
      </w:pPr>
      <w:rPr>
        <w:rFonts w:hint="default"/>
        <w:lang w:val="en-US" w:eastAsia="en-US" w:bidi="ar-SA"/>
      </w:rPr>
    </w:lvl>
  </w:abstractNum>
  <w:num w:numId="1" w16cid:durableId="167217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0319"/>
    <w:rsid w:val="000B4BF2"/>
    <w:rsid w:val="00482BE6"/>
    <w:rsid w:val="00775AE8"/>
    <w:rsid w:val="00E6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7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7"/>
      <w:ind w:left="1094" w:hanging="548"/>
      <w:jc w:val="both"/>
    </w:pPr>
    <w:rPr>
      <w:sz w:val="24"/>
      <w:szCs w:val="24"/>
    </w:rPr>
  </w:style>
  <w:style w:type="paragraph" w:styleId="ListParagraph">
    <w:name w:val="List Paragraph"/>
    <w:basedOn w:val="Normal"/>
    <w:uiPriority w:val="1"/>
    <w:qFormat/>
    <w:pPr>
      <w:spacing w:before="67"/>
      <w:ind w:left="1094" w:hanging="54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4BF2"/>
    <w:pPr>
      <w:tabs>
        <w:tab w:val="center" w:pos="4680"/>
        <w:tab w:val="right" w:pos="9360"/>
      </w:tabs>
    </w:pPr>
  </w:style>
  <w:style w:type="character" w:customStyle="1" w:styleId="HeaderChar">
    <w:name w:val="Header Char"/>
    <w:basedOn w:val="DefaultParagraphFont"/>
    <w:link w:val="Header"/>
    <w:uiPriority w:val="99"/>
    <w:rsid w:val="000B4BF2"/>
    <w:rPr>
      <w:rFonts w:ascii="Times New Roman" w:eastAsia="Times New Roman" w:hAnsi="Times New Roman" w:cs="Times New Roman"/>
    </w:rPr>
  </w:style>
  <w:style w:type="paragraph" w:styleId="Footer">
    <w:name w:val="footer"/>
    <w:basedOn w:val="Normal"/>
    <w:link w:val="FooterChar"/>
    <w:uiPriority w:val="99"/>
    <w:unhideWhenUsed/>
    <w:rsid w:val="000B4BF2"/>
    <w:pPr>
      <w:tabs>
        <w:tab w:val="center" w:pos="4680"/>
        <w:tab w:val="right" w:pos="9360"/>
      </w:tabs>
    </w:pPr>
  </w:style>
  <w:style w:type="character" w:customStyle="1" w:styleId="FooterChar">
    <w:name w:val="Footer Char"/>
    <w:basedOn w:val="DefaultParagraphFont"/>
    <w:link w:val="Footer"/>
    <w:uiPriority w:val="99"/>
    <w:rsid w:val="000B4BF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1CD18-A308-41C3-AC84-125C85673572}"/>
</file>

<file path=customXml/itemProps2.xml><?xml version="1.0" encoding="utf-8"?>
<ds:datastoreItem xmlns:ds="http://schemas.openxmlformats.org/officeDocument/2006/customXml" ds:itemID="{BD97A5D2-790A-4829-B9F1-3AA2CF1E5140}"/>
</file>

<file path=customXml/itemProps3.xml><?xml version="1.0" encoding="utf-8"?>
<ds:datastoreItem xmlns:ds="http://schemas.openxmlformats.org/officeDocument/2006/customXml" ds:itemID="{92BDE01E-6BA3-43F7-B7DA-1BD924C745D2}"/>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2026-04-07T21:21:00Z</dcterms:created>
  <dcterms:modified xsi:type="dcterms:W3CDTF">2026-04-07T21:21:00Z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